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22</w:t>
      </w:r>
    </w:p>
    <w:p>
      <w:r>
        <w:t>Age of Diagnosis: 29</w:t>
      </w:r>
    </w:p>
    <w:p>
      <w:r>
        <w:t>Family History: Maternal cousin ovarian cancer</w:t>
      </w:r>
    </w:p>
    <w:p>
      <w:r>
        <w:t>Diagnosis:</w:t>
      </w:r>
    </w:p>
    <w:p>
      <w:pPr>
        <w:pStyle w:val="ListBullet"/>
      </w:pPr>
      <w:r>
        <w:t xml:space="preserve">    Invasive Ductal Carcinoma: Grade 3</w:t>
      </w:r>
    </w:p>
    <w:p>
      <w:pPr>
        <w:pStyle w:val="ListBullet"/>
      </w:pPr>
      <w:r>
        <w:t xml:space="preserve">    Ductal Carcinoma In Situ (DCIS): High grade with comedo necrosis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Description:</w:t>
      </w:r>
    </w:p>
    <w:p>
      <w:r>
        <w:t>Image Description:</w:t>
      </w:r>
    </w:p>
    <w:p>
      <w:r>
        <w:t>Generations:</w:t>
      </w:r>
    </w:p>
    <w:p>
      <w:pPr>
        <w:pStyle w:val="ListBullet"/>
      </w:pPr>
      <w:r>
        <w:t xml:space="preserve">    Generation II: The patient's maternal cousin with ovarian cancer diagnosed at age 40.</w:t>
      </w:r>
    </w:p>
    <w:p>
      <w:pPr>
        <w:pStyle w:val="ListBullet"/>
      </w:pPr>
      <w:r>
        <w:t xml:space="preserve">    Generation III: The patient, a female, diagnosed with invasive ductal carcinoma at age 29. The cancer is noted as ER-positive, PR-positive, and HER2-positive.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years: The patient was diagnosed at 29., Family history of ovarian cancer: Maternal cousin diagnosed with ovarian cancer.</w:t>
      </w:r>
    </w:p>
    <w:p>
      <w:pPr>
        <w:pStyle w:val="Heading1"/>
      </w:pPr>
      <w:r>
        <w:t>Conclusion</w:t>
      </w:r>
    </w:p>
    <w:p>
      <w:r>
        <w:t>The patient is eligible for NCCN testing criteria due to the personal history of breast cancer diagnosed at 29 and a family history of ovarian cancer in a maternal cousin. Therefore, genetic testing for high-penetrance breast cancer susceptibility genes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