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22</w:t>
      </w:r>
    </w:p>
    <w:p>
      <w:r>
        <w:t>Age of Diagnosis: 29</w:t>
      </w:r>
    </w:p>
    <w:p>
      <w:r>
        <w:t>Family History: Maternal cousin with ovarian cancer</w:t>
      </w:r>
    </w:p>
    <w:p>
      <w:r>
        <w:t>Diagnosis:</w:t>
      </w:r>
    </w:p>
    <w:p>
      <w:pPr>
        <w:pStyle w:val="ListBullet"/>
      </w:pPr>
      <w:r>
        <w:t xml:space="preserve">    Invasive Ductal Carcinoma: Grade 3, High-grade</w:t>
      </w:r>
    </w:p>
    <w:p>
      <w:pPr>
        <w:pStyle w:val="ListBullet"/>
      </w:pPr>
      <w:r>
        <w:t xml:space="preserve">    Ductal Carcinoma In Situ (DCIS): High grade with comedo necrosis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Great Aunts, Great Uncle</w:t>
      </w:r>
    </w:p>
    <w:p>
      <w:pPr>
        <w:pStyle w:val="ListBullet"/>
      </w:pPr>
      <w:r>
        <w:t xml:space="preserve">    Generation II: Maternal cousin with ovarian cancer diagnosed at age 40</w:t>
      </w:r>
    </w:p>
    <w:p>
      <w:pPr>
        <w:pStyle w:val="ListBullet"/>
      </w:pPr>
      <w:r>
        <w:t xml:space="preserve">    Generation III: The patient diagnosed with high-grade invasive ductal carcinoma at age 29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years: The patient was diagnosed at 29., Family history: ≥ 1 close blood relative with ovarian cancer. The patient's maternal cousin had ovarian cancer.</w:t>
      </w:r>
    </w:p>
    <w:p>
      <w:pPr>
        <w:pStyle w:val="Heading1"/>
      </w:pPr>
      <w:r>
        <w:t>Conclusion</w:t>
      </w:r>
    </w:p>
    <w:p>
      <w:r>
        <w:t>The patient meets the NCCN testing criteria due to being diagnosed with breast cancer under the age of 50 and having a close relative with ovarian cancer. These factors highlight the potential for hereditary breast and ovarian cancer syndrome, suggesting genetic testing for high-penetrance breast cancer susceptibility genes is warranted.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