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cancer, for review.</w:t>
      </w:r>
    </w:p>
    <w:p>
      <w:r>
        <w:t>Diagnosis: Invasive carcinoma with lobular features (Grade 3).</w:t>
      </w:r>
    </w:p>
    <w:p>
      <w:r>
        <w:t>Receptor Status:</w:t>
      </w:r>
    </w:p>
    <w:p>
      <w:pPr>
        <w:pStyle w:val="ListBullet"/>
      </w:pPr>
      <w:r>
        <w:t xml:space="preserve">    Estrogen Receptors: Negative</w:t>
      </w:r>
    </w:p>
    <w:p>
      <w:pPr>
        <w:pStyle w:val="ListBullet"/>
      </w:pPr>
      <w:r>
        <w:t xml:space="preserve">    Progesterone Receptors: Positive</w:t>
      </w:r>
    </w:p>
    <w:p>
      <w:pPr>
        <w:pStyle w:val="ListBullet"/>
      </w:pPr>
      <w:r>
        <w:t xml:space="preserve">    HER2: Positive</w:t>
      </w:r>
    </w:p>
    <w:p>
      <w:r>
        <w:t>Note: The HER2-positive status may suggest more aggressive treatment options including targeted therapy.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</w:t>
      </w:r>
    </w:p>
    <w:p>
      <w:pPr>
        <w:pStyle w:val="ListBullet"/>
      </w:pPr>
      <w:r>
        <w:t xml:space="preserve">    Generation II: </w:t>
      </w:r>
    </w:p>
    <w:p>
      <w:pPr>
        <w:pStyle w:val="ListBullet"/>
      </w:pPr>
      <w:r>
        <w:t xml:space="preserve">    Generation III: Patient (Case 25), female, diagnosed with breast cancer at age 75.</w:t>
      </w:r>
    </w:p>
    <w:p>
      <w:pPr>
        <w:pStyle w:val="ListBullet"/>
      </w:pPr>
      <w:r>
        <w:t xml:space="preserve">    Generation IV: Children, Nieces, Nephews</w:t>
      </w:r>
    </w:p>
    <w:p>
      <w:r>
        <w:t>Textual Analysis:</w:t>
      </w:r>
    </w:p>
    <w:p>
      <w:pPr>
        <w:pStyle w:val="Heading1"/>
      </w:pPr>
      <w:r>
        <w:t>NCCN Testing Criteria Assessment</w:t>
      </w:r>
    </w:p>
    <w:p>
      <w:r>
        <w:t>Criteria Met: None</w:t>
      </w:r>
    </w:p>
    <w:p>
      <w:r>
        <w:t>Analysis: T, h, e,  , p, a, t, i, e, n, t,  , d, o, e, s,  , n, o, t,  , m, e, e, t,  , a, n, y,  , o, f,  , t, h, e,  , s, p, e, c, i, f, i, e, d,  , N, C, C, N,  , t, e, s, t, i, n, g,  , c, r, i, t, e, r, i, a,  , f, o, r,  , h, i, g, h, -, p, e, n, e, t, r, a, n, c, e,  , b, r, e, a, s, t,  , c, a, n, c, e, r,  , s, u, s, c, e, p, t, i, b, i, l, i, t, y,  , g, e, n, e, s, .,  , S, h, e,  , i, s,  , o, l, d, e, r,  , t, h, a, n,  , 5, 0,  , y, e, a, r, s, ,,  , d, o, e, s,  , n, o, t,  , h, a, v, e,  , t, r, i, p, l, e, -, n, e, g, a, t, i, v, e,  , b, r, e, a, s, t,  , c, a, n, c, e, r, ,,  , a, n, d,  , t, h, e,  , f, a, m, i, l, y,  , h, i, s, t, o, r, y,  , d, o, e, s,  , n, o, t,  , i, n, d, i, c, a, t, e,  , c, a, s, e, s,  , o, f,  , b, r, e, a, s, t, ,,  , o, v, a, r, i, a, n, ,,  , p, r, o, s, t, a, t, e, ,,  , o, r,  , p, a, n, c, r, e, a, t, i, c,  , c, a, n, c, e, r, .,  , T, h, e,  , a, n, c, e, s, t, r, y,  , a, n, d,  , p, r, e, s, e, n, c, e,  , o, f,  , m, a, l, e,  , b, r, e, a, s, t,  , c, a, n, c, e, r,  , a, r, e,  , a, l, s, o,  , n, o, t,  , a, p, p, l, i, c, a, b, l, e, .</w:t>
      </w:r>
    </w:p>
    <w:p>
      <w:pPr>
        <w:pStyle w:val="Heading1"/>
      </w:pPr>
      <w:r>
        <w:t>Conclusion</w:t>
      </w:r>
    </w:p>
    <w:p>
      <w:r>
        <w:t>The patient is not eligible for NCCN testing under the current criteria. She does not meet age-related or familial-based conditions listed for genetic testing of high-penetrance breast cancer susceptibility genes. No action regarding genetic testing is recommended based on the provided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