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Invasive carcinoma with lobular features, diagnosed at age 64.</w:t>
      </w:r>
    </w:p>
    <w:p>
      <w:r>
        <w:t>Specimen: Not specified.</w:t>
      </w:r>
    </w:p>
    <w:p>
      <w:r>
        <w:t>Diagnosis: Invasive carcinoma with lobular features (Grade 2).</w:t>
      </w:r>
    </w:p>
    <w:p>
      <w:r>
        <w:t>Receptor Status:</w:t>
      </w:r>
    </w:p>
    <w:p>
      <w:pPr>
        <w:pStyle w:val="ListBullet"/>
      </w:pPr>
      <w:r>
        <w:t xml:space="preserve">    Estrogen Receptors: Positive</w:t>
      </w:r>
    </w:p>
    <w:p>
      <w:pPr>
        <w:pStyle w:val="ListBullet"/>
      </w:pPr>
      <w:r>
        <w:t xml:space="preserve">    Progesterone Receptors: Positive</w:t>
      </w:r>
    </w:p>
    <w:p>
      <w:pPr>
        <w:pStyle w:val="ListBullet"/>
      </w:pPr>
      <w:r>
        <w:t xml:space="preserve">    HER2: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Paternal Aunt with ovarian cancer diagnosed at age 60.</w:t>
      </w:r>
    </w:p>
    <w:p>
      <w:pPr>
        <w:pStyle w:val="ListBullet"/>
      </w:pPr>
      <w:r>
        <w:t xml:space="preserve">    Generation III: Case 26, female, diagnosed with breast cancer at age 64.</w:t>
      </w:r>
    </w:p>
    <w:p>
      <w:pPr>
        <w:pStyle w:val="ListBullet"/>
      </w:pPr>
      <w:r>
        <w:t xml:space="preserve">    Generation IV: </w:t>
      </w:r>
    </w:p>
    <w:p>
      <w:pPr>
        <w:pStyle w:val="Heading1"/>
      </w:pPr>
      <w:r>
        <w:t>NCCN Testing Criteria Assessment</w:t>
      </w:r>
    </w:p>
    <w:p>
      <w:r>
        <w:t>Criteria: Any age with ≥ 1 close blood relative with ovarian cancer: The patient has a paternal aunt diagnosed with ovarian cancer.</w:t>
      </w:r>
    </w:p>
    <w:p>
      <w:pPr>
        <w:pStyle w:val="Heading1"/>
      </w:pPr>
      <w:r>
        <w:t>Conclusion</w:t>
      </w:r>
    </w:p>
    <w:p>
      <w:r>
        <w:t>The patient is eligible for NCCN testing criteria due to having a close blood relative with ovarian cancer. This fulfills one of the NCCN testing criteria for high-penetrance breast cancer susceptibility genes, suggesting further genetic testing could be justified.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