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cancer, diagnosis at age 64.</w:t>
      </w:r>
    </w:p>
    <w:p>
      <w:r>
        <w:t>Diagnosis: Invasive carcinoma with lobular features, Grade 2.</w:t>
      </w:r>
    </w:p>
    <w:p>
      <w:r>
        <w:t>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Positive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Paternal Aunt with ovarian cancer diagnosed at age 60.</w:t>
      </w:r>
    </w:p>
    <w:p>
      <w:pPr>
        <w:pStyle w:val="ListBullet"/>
      </w:pPr>
      <w:r>
        <w:t xml:space="preserve">    Generation III: Patient diagnosed with invasive carcinoma with lobular features at age 64, ER/PR positive, HER2 negative.</w:t>
      </w:r>
    </w:p>
    <w:p>
      <w:pPr>
        <w:pStyle w:val="ListBullet"/>
      </w:pPr>
      <w:r>
        <w:t xml:space="preserve">    Generation IV: </w:t>
      </w:r>
    </w:p>
    <w:p>
      <w:r>
        <w:t>Image:</w:t>
      </w:r>
    </w:p>
    <w:p>
      <w:pPr>
        <w:pStyle w:val="Heading1"/>
      </w:pPr>
      <w:r>
        <w:t>NCCN Testing Criteria Assessment</w:t>
      </w:r>
    </w:p>
    <w:p>
      <w:r>
        <w:t>Criteria: Personal history of lobular breast cancer with family history of ovarian cancer.</w:t>
      </w:r>
    </w:p>
    <w:p>
      <w:pPr>
        <w:pStyle w:val="Heading1"/>
      </w:pPr>
      <w:r>
        <w:t>Conclusion</w:t>
      </w:r>
    </w:p>
    <w:p>
      <w:r>
        <w:t>The patient is eligible for NCCN testing criteria due to personal history of lobular breast cancer and a family history of ovarian cancer (paternal aunt). Testing for high-penetrance breast cancer susceptibility genes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