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27</w:t>
      </w:r>
    </w:p>
    <w:p>
      <w:r>
        <w:t>Age of Diagnosis: 38</w:t>
      </w:r>
    </w:p>
    <w:p>
      <w:r>
        <w:t>Diagnosis: Invasive carcinoma with lobular features (Grade 2).</w:t>
      </w:r>
    </w:p>
    <w:p>
      <w:r>
        <w:t>Hormone 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Positive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Paternal Grandfather with prostate cancer</w:t>
      </w:r>
    </w:p>
    <w:p>
      <w:pPr>
        <w:pStyle w:val="ListBullet"/>
      </w:pPr>
      <w:r>
        <w:t xml:space="preserve">    Generation II: Two uncles with prostate cancer</w:t>
      </w:r>
    </w:p>
    <w:p>
      <w:pPr>
        <w:pStyle w:val="ListBullet"/>
      </w:pPr>
      <w:r>
        <w:t xml:space="preserve">    Generation III: Patient diagnosed with breast cancer at age 38 (ER-positive, PR-positive, HER2-negative)</w:t>
      </w:r>
    </w:p>
    <w:p>
      <w:r>
        <w:t>Image Summary: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y., Any age with ≥ 1 close blood relative with prostate cancer (further specification required but notable history).</w:t>
      </w:r>
    </w:p>
    <w:p>
      <w:pPr>
        <w:pStyle w:val="Heading1"/>
      </w:pPr>
      <w:r>
        <w:t>Conclusion</w:t>
      </w:r>
    </w:p>
    <w:p>
      <w:r>
        <w:t>The patient is eligible for NCCN criteria testing.</w:t>
      </w:r>
    </w:p>
    <w:p>
      <w:r>
        <w:t>With a diagnosis of breast cancer at age 38 and a familial history of prostate cancer, the patient qualifies for genetic testing according to NCCN guidelines. The presence of ER-positive, PR-positive, HER2-negative status is consistent with the lobular features. Further genetic counseling and testing for high-penetrance breast cancer susceptibility genes, such as BRCA1 and BRCA2, are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