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28 of breast cancer.</w:t>
      </w:r>
    </w:p>
    <w:p>
      <w:r>
        <w:t>Specimen: Not specified in provided information.</w:t>
      </w:r>
    </w:p>
    <w:p>
      <w:r>
        <w:t>Diagnosis: Invasive carcinoma with lobular features, Grade 1.</w:t>
      </w:r>
    </w:p>
    <w:p>
      <w:r>
        <w:t>Receptor Status:</w:t>
      </w:r>
    </w:p>
    <w:p>
      <w:pPr>
        <w:pStyle w:val="ListBullet"/>
      </w:pPr>
      <w:r>
        <w:t xml:space="preserve">    Estrogen Receptors (ER): Negative</w:t>
      </w:r>
    </w:p>
    <w:p>
      <w:pPr>
        <w:pStyle w:val="ListBullet"/>
      </w:pPr>
      <w:r>
        <w:t xml:space="preserve">    Progesterone Receptors (PR):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The patient, female, diagnosed at age 45 with triple-negative lobular breast cancer.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years: Met, as the patient was diagnosed at age 45., Triple-negative breast cancer: Met, as the patient is ER-, PR-, HER2-.</w:t>
      </w:r>
    </w:p>
    <w:p>
      <w:pPr>
        <w:pStyle w:val="Heading1"/>
      </w:pPr>
      <w:r>
        <w:t>Conclusion</w:t>
      </w:r>
    </w:p>
    <w:p>
      <w:r>
        <w:t>The patient meets multiple NCCN criteria for genetic testing. Diagnosed with breast cancer at age 45 and having triple-negative breast cancer justifies testing for high-penetrance breast cancer susceptibility genes such as BRCA1, BRCA2, CDH1, PALB2, PTEN, STK11, and TP53. Given the absence of a significant family history, the personal diagnosis is crucial for eligibility.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