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Right breast, tru cut biopsy.</w:t>
      </w:r>
    </w:p>
    <w:p>
      <w:r>
        <w:t>Diagnosis: Invasive carcinoma with lobular features (Grade 1).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Uncle</w:t>
      </w:r>
    </w:p>
    <w:p>
      <w:pPr>
        <w:pStyle w:val="ListBullet"/>
      </w:pPr>
      <w:r>
        <w:t xml:space="preserve">    Generation III: The patient, diagnosed with breast cancer at age 45, with no familial history of breast cancer noted in the image.</w:t>
      </w:r>
    </w:p>
    <w:p>
      <w:pPr>
        <w:pStyle w:val="ListBullet"/>
      </w:pPr>
      <w:r>
        <w:t xml:space="preserve">    Generation IV: Children, Nieces, Nephews</w:t>
      </w:r>
    </w:p>
    <w:p>
      <w:r>
        <w:t>Notes: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 50: The patient was diagnosed at age 45, which meets this criterion., Triple-negative breast cancer: The patient has triple-negative status (ER-, PR-, HER2-), which qualifies for testing., Family history is negative for other related cancers or genetic risk noted in the pedigree, so no additional criteria met based on family history.</w:t>
      </w:r>
    </w:p>
    <w:p>
      <w:pPr>
        <w:pStyle w:val="Heading1"/>
      </w:pPr>
      <w:r>
        <w:t>Conclusion</w:t>
      </w:r>
    </w:p>
    <w:p>
      <w:r>
        <w:t>The patient is eligible for NCCN Criteria due to a personal history of breast cancer diagnosed at age 45 and triple-negative breast cancer status. Despite the absence of a notable family history of related cancers, the triple-negative status and age at diagnosis alone justify genetic testing consideration.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