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29</w:t>
      </w:r>
    </w:p>
    <w:p>
      <w:r>
        <w:t>Age of Diagnosis: 55</w:t>
      </w:r>
    </w:p>
    <w:p>
      <w:r>
        <w:t>Family History: Sister diagnosed with breast cancer at age 50</w:t>
      </w:r>
    </w:p>
    <w:p>
      <w:r>
        <w:t>Diagnosis: Invasive carcinoma with lobular features (Grade 1)</w:t>
      </w:r>
    </w:p>
    <w:p>
      <w:r>
        <w:t>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The patient, diagnosed with breast cancer at age 55, with ER-positive, PR-negative, HER2-positive status</w:t>
      </w:r>
    </w:p>
    <w:p>
      <w:pPr>
        <w:pStyle w:val="ListBullet"/>
      </w:pPr>
      <w:r>
        <w:t xml:space="preserve">    Generation IV: Sister diagnosed with breast cancer at age 50</w:t>
      </w:r>
    </w:p>
    <w:p>
      <w:r>
        <w:t>Description:</w:t>
      </w:r>
    </w:p>
    <w:p>
      <w:pPr>
        <w:pStyle w:val="Heading1"/>
      </w:pPr>
      <w:r>
        <w:t>NCCN Testing Criteria Assessment</w:t>
      </w:r>
    </w:p>
    <w:p>
      <w:r>
        <w:t>Criteria Met: Age of diagnosis &gt; 50 years, does not meet the personal history criterion for testing., Family history fulfills NCCN criteria due to the sister being diagnosed with breast cancer at age ≤50.</w:t>
      </w:r>
    </w:p>
    <w:p>
      <w:pPr>
        <w:pStyle w:val="Heading1"/>
      </w:pPr>
      <w:r>
        <w:t>Conclusion</w:t>
      </w:r>
    </w:p>
    <w:p>
      <w:r>
        <w:t>The patient is eligible for NCCN testing based on the family history criterion, as the sister was diagnosed with breast cancer at age 50.</w:t>
      </w:r>
    </w:p>
    <w:p>
      <w:r>
        <w:t>Given the patient's family history, they meet the testing criteria for genes related to high-penetrance breast cancer susceptibility, despite their diagnosis occurring after the age cutoff for personal history. Recommended testing for BRCA1, BRCA2, and potentially other genes is warranted.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