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Case Number: 29</w:t>
      </w:r>
    </w:p>
    <w:p>
      <w:r>
        <w:t>Age of Diagnosis: 55</w:t>
      </w:r>
    </w:p>
    <w:p>
      <w:r>
        <w:t>Family History: Sister diagnosed with breast cancer at age 50</w:t>
      </w:r>
    </w:p>
    <w:p>
      <w:r>
        <w:t>Diagnosis: Invasive carcinoma with lobular features (Grade 1)</w:t>
      </w:r>
    </w:p>
    <w:p>
      <w:r>
        <w:t>Hormone Receptor Status:</w:t>
      </w:r>
    </w:p>
    <w:p>
      <w:pPr>
        <w:pStyle w:val="ListBullet"/>
      </w:pPr>
      <w:r>
        <w:t xml:space="preserve">    ER Status: Positive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Positive</w:t>
      </w:r>
    </w:p>
    <w:p>
      <w:pPr>
        <w:pStyle w:val="Heading1"/>
      </w:pPr>
      <w:r>
        <w:t>Pedigree Analysis</w:t>
      </w:r>
    </w:p>
    <w:p>
      <w:r>
        <w:t>Generations:</w:t>
      </w:r>
    </w:p>
    <w:p>
      <w:pPr>
        <w:pStyle w:val="ListBullet"/>
      </w:pPr>
      <w:r>
        <w:t xml:space="preserve">    Generation I: </w:t>
      </w:r>
    </w:p>
    <w:p>
      <w:pPr>
        <w:pStyle w:val="ListBullet"/>
      </w:pPr>
      <w:r>
        <w:t xml:space="preserve">    Generation II: </w:t>
      </w:r>
    </w:p>
    <w:p>
      <w:pPr>
        <w:pStyle w:val="ListBullet"/>
      </w:pPr>
      <w:r>
        <w:t xml:space="preserve">    Generation III: The patient, diagnosed with breast cancer at age 55. ER-positive, PR-negative, HER2-positive., The patient's sister, diagnosed with breast cancer at age 50.</w:t>
      </w:r>
    </w:p>
    <w:p>
      <w:pPr>
        <w:pStyle w:val="ListBullet"/>
      </w:pPr>
      <w:r>
        <w:t xml:space="preserve">    Generation IV: Children, Nieces, Nephews</w:t>
      </w:r>
    </w:p>
    <w:p>
      <w:r>
        <w:t>Visual Representation: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 50: Not met, patient diagnosed at 55., Family history: ≥ 1 close blood relative with breast cancer at age ≤ 50: Met, patient's sister diagnosed at 50.</w:t>
      </w:r>
    </w:p>
    <w:p>
      <w:pPr>
        <w:pStyle w:val="Heading1"/>
      </w:pPr>
      <w:r>
        <w:t>Conclusion</w:t>
      </w:r>
    </w:p>
    <w:p>
      <w:r>
        <w:t>The patient is eligible for NCCN testing criteria based on having a sister diagnosed with breast cancer at age 50. This family history aligns with the testing criteria for high-penetrance breast cancer susceptibility genes. Thus, genetic testing for BRCA1, BRCA2, and other related genes is recommended.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