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3</w:t>
      </w:r>
    </w:p>
    <w:p>
      <w:r>
        <w:t>Age of Diagnosis: 52</w:t>
      </w:r>
    </w:p>
    <w:p>
      <w:r>
        <w:t>Family History: No family history</w:t>
      </w:r>
    </w:p>
    <w:p>
      <w:r>
        <w:t>Diagnosis:</w:t>
      </w:r>
    </w:p>
    <w:p>
      <w:pPr>
        <w:pStyle w:val="ListBullet"/>
      </w:pPr>
      <w:r>
        <w:t xml:space="preserve">    Invasive Ductal Carcinoma: Grade 3, high-grade</w:t>
      </w:r>
    </w:p>
    <w:p>
      <w:pPr>
        <w:pStyle w:val="ListBullet"/>
      </w:pPr>
      <w:r>
        <w:t xml:space="preserve">    Ductal Carcinoma In Situ (DCIS): High grade with comedo necrosis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</w:t>
      </w:r>
    </w:p>
    <w:p>
      <w:pPr>
        <w:pStyle w:val="ListBullet"/>
      </w:pPr>
      <w:r>
        <w:t xml:space="preserve">    Generation III: Patient, 52 years old, diagnosed with grade 3 invasive ductal carcinoma.</w:t>
      </w:r>
    </w:p>
    <w:p>
      <w:pPr>
        <w:pStyle w:val="ListBullet"/>
      </w:pPr>
      <w:r>
        <w:t xml:space="preserve">    Generation IV: </w:t>
      </w:r>
    </w:p>
    <w:p>
      <w:r>
        <w:t>Description:</w:t>
      </w:r>
    </w:p>
    <w:p>
      <w:pPr>
        <w:pStyle w:val="Heading1"/>
      </w:pPr>
      <w:r>
        <w:t>NCCN Testing Criteria Assessment</w:t>
      </w:r>
    </w:p>
    <w:p>
      <w:r>
        <w:t>Criteria Met: Any age with Triple-negative breast cancer: The patient has triple-negative breast cancer (ER-negative, PR-negative, HER2-positive).</w:t>
      </w:r>
    </w:p>
    <w:p>
      <w:pPr>
        <w:pStyle w:val="Heading1"/>
      </w:pPr>
      <w:r>
        <w:t>Conclusion</w:t>
      </w:r>
    </w:p>
    <w:p>
      <w:r>
        <w:t>The patient meets the NCCN criteria for genetic testing eligibility due to the presence of triple-negative breast cancer, despite the absence of family history. Genetic testing for high-penetrance breast cancer susceptibility genes like BRCA1 or BRCA2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