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</w:t>
      </w:r>
    </w:p>
    <w:p>
      <w:r>
        <w:t>Diagnosis: Invasive ductal carcinoma, grade 3 with DCIS high grade with comedo necrosis.</w:t>
      </w:r>
    </w:p>
    <w:p>
      <w:r>
        <w:t>Age of Diagnosis: 52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Patient: Affected with high-grade invasive ductal carcinoma at age 52. ER-negative, PR-negative, HER2-positive.</w:t>
      </w:r>
    </w:p>
    <w:p>
      <w:pPr>
        <w:pStyle w:val="ListBullet"/>
      </w:pPr>
      <w:r>
        <w:t xml:space="preserve">    Generation IV: Siblings, Cousins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 years: Not met, patient diagnosed at 52., Triple-negative breast cancer: Met, as ER, PR are negative, and HER2 is positive.</w:t>
      </w:r>
    </w:p>
    <w:p>
      <w:pPr>
        <w:pStyle w:val="Heading1"/>
      </w:pPr>
      <w:r>
        <w:t>Conclusion</w:t>
      </w:r>
    </w:p>
    <w:p>
      <w:r>
        <w:t>The patient does meet the NCCN criteria due to the instance of triple-negative breast cancer. Despite the patient being diagnosed after age 50, the triple-negative status qualifies them for testing. No significant family history further suggests isolated incidences or mutations likely not inherited.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