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Not specified</w:t>
      </w:r>
    </w:p>
    <w:p>
      <w:r>
        <w:t>Diagnosis: Invasive carcinoma with lobular features (Grade 3).</w:t>
      </w:r>
    </w:p>
    <w:p>
      <w:r>
        <w:t>Hormone 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HER-2/neu: Negative</w:t>
      </w:r>
    </w:p>
    <w:p>
      <w:pPr>
        <w:pStyle w:val="Heading1"/>
      </w:pPr>
      <w:r>
        <w:t>Pedigree Analysis</w:t>
      </w:r>
    </w:p>
    <w:p>
      <w:r>
        <w:t>Visual Representation:</w:t>
      </w:r>
    </w:p>
    <w:p>
      <w:r>
        <w:t>Generations:</w:t>
      </w:r>
    </w:p>
    <w:p>
      <w:pPr>
        <w:pStyle w:val="ListBullet"/>
      </w:pPr>
      <w:r>
        <w:t xml:space="preserve">    Generation I: GPs, Aunts, Great Uncle</w:t>
      </w:r>
    </w:p>
    <w:p>
      <w:pPr>
        <w:pStyle w:val="ListBullet"/>
      </w:pPr>
      <w:r>
        <w:t xml:space="preserve">    Generation II: Parents, Aunts</w:t>
      </w:r>
    </w:p>
    <w:p>
      <w:pPr>
        <w:pStyle w:val="ListBullet"/>
      </w:pPr>
      <w:r>
        <w:t xml:space="preserve">    Generation III: Patient: diagnosed with breast cancer at age 67, ER/PR/HER2 negative.</w:t>
      </w:r>
    </w:p>
    <w:p>
      <w:pPr>
        <w:pStyle w:val="ListBullet"/>
      </w:pPr>
      <w:r>
        <w:t xml:space="preserve">    Generation IV: Children, Nieces, Nephews</w:t>
      </w:r>
    </w:p>
    <w:p>
      <w:r>
        <w:t>Analysis:</w:t>
      </w:r>
    </w:p>
    <w:p>
      <w:pPr>
        <w:pStyle w:val="Heading1"/>
      </w:pPr>
      <w:r>
        <w:t>NCCN Testing Criteria Assessment</w:t>
      </w:r>
    </w:p>
    <w:p>
      <w:r>
        <w:t>Criteria Met: Triple-negative breast cancer at any age., Ashkenazi Jewish ancestry.</w:t>
      </w:r>
    </w:p>
    <w:p>
      <w:pPr>
        <w:pStyle w:val="Heading1"/>
      </w:pPr>
      <w:r>
        <w:t>Conclusion</w:t>
      </w:r>
    </w:p>
    <w:p>
      <w:r>
        <w:t>The patient is eligible for NCCN testing criteria based on having triple-negative breast cancer and Ashkenazi Jewish ancestry. This qualifies the patient for evaluation for high-penetrance breast cancer susceptibility genes such as BRCA1 and BRCA2. Genetic counseling is recommended prior to testing to discuss potential outcomes and implications.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