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age of diagnosis is 67.</w:t>
      </w:r>
    </w:p>
    <w:p>
      <w:r>
        <w:t>Diagnosis: Invasive carcinoma with lobular features (Grade 3).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Aunts, Great Uncles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 with breast cancer, diagnosis at age 67, Ashkenazi Jewish ancestry, triple-negative breast cancer.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cancer., Any age with Ancestry: Ashkenazi Jewish ancestry.</w:t>
      </w:r>
    </w:p>
    <w:p>
      <w:pPr>
        <w:pStyle w:val="Heading1"/>
      </w:pPr>
      <w:r>
        <w:t>Conclusion</w:t>
      </w:r>
    </w:p>
    <w:p>
      <w:r>
        <w:t>The patient is eligible for NCCN criteria testing.</w:t>
      </w:r>
    </w:p>
    <w:p>
      <w:r>
        <w:t>The patient meets eligibility based on having triple-negative breast cancer and being of Ashkenazi Jewish ancestry. Genetic testing for high-penetrance breast cancer susceptibility genes such as BRCA1 and BRCA2 is indicated.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