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review.</w:t>
      </w:r>
    </w:p>
    <w:p>
      <w:r>
        <w:t>Specimen: Not explicitly stated, but inferred as breast tissue.</w:t>
      </w:r>
    </w:p>
    <w:p>
      <w:r>
        <w:t>Diagnosis: Invasive carcinoma with lobular features (Grade 2).</w:t>
      </w:r>
    </w:p>
    <w:p>
      <w:r>
        <w:t>Age of Diagnosis: 65</w:t>
      </w:r>
    </w:p>
    <w:p>
      <w:r>
        <w:t>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Positive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Patient (Case 31): Diagnosed with breast cancer at age 65, ER/PR/HER2 positive.</w:t>
      </w:r>
    </w:p>
    <w:p>
      <w:pPr>
        <w:pStyle w:val="ListBullet"/>
      </w:pPr>
      <w:r>
        <w:t xml:space="preserve">    Generation IV: Children, Nieces, Nephews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Not met (diagnosed at 65)., Triple-negative breast cancer: Not met (ER, PR, HER2 positive)., Multiple primary breast cancers: Not met., Lobular breast cancer with personal or family history of diffuse gastric cancer: Not met., Male breast cancer: Not applicable., Ancestry: Ashkenazi Jewish ancestry: Not mentioned., ≥ 1 close blood relative with breast cancer at age ≤ 50: Not applicable., ≥ 1 close blood relative with male breast cancer: Not applicable., ≥ 1 close blood relative with ovarian cancer: Not applicable., ≥ 1 close blood relative with pancreatic cancer: Not applicable., ≥ 1 close blood relative with prostate cancer with metastatic, or high- or very-high-risk group: Not mentioned., ≥ 3 diagnoses of breast and/or prostate cancer on the same side of the family: Not met.</w:t>
      </w:r>
    </w:p>
    <w:p>
      <w:pPr>
        <w:pStyle w:val="Heading1"/>
      </w:pPr>
      <w:r>
        <w:t>Conclusion</w:t>
      </w:r>
    </w:p>
    <w:p>
      <w:r>
        <w:t>The patient does not meet the NCCN criteria for genetic testing. The diagnosis at age 65, along with ER/PR/HER2 positivity, and the absence of significant family history of breast or other related cancers, suggest that genetic testing based on NCCN guidelines is not warranted at this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