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 for review, with a family history of pancreatic cancer.</w:t>
      </w:r>
    </w:p>
    <w:p>
      <w:r>
        <w:t>Specimen: Details not specified in document.</w:t>
      </w:r>
    </w:p>
    <w:p>
      <w:r>
        <w:t>Diagnosis: Invasive carcinoma with lobular features (Grade 2).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HER-2/neu: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Father: pancreatic cancer.</w:t>
      </w:r>
    </w:p>
    <w:p>
      <w:pPr>
        <w:pStyle w:val="ListBullet"/>
      </w:pPr>
      <w:r>
        <w:t xml:space="preserve">    Generation III: Patient: diagnosed with invasive carcinoma with lobular features at age 34.</w:t>
      </w:r>
    </w:p>
    <w:p>
      <w:pPr>
        <w:pStyle w:val="ListBullet"/>
      </w:pPr>
      <w:r>
        <w:t xml:space="preserve">    Generation IV: </w:t>
      </w:r>
    </w:p>
    <w:p>
      <w:pPr>
        <w:pStyle w:val="Heading1"/>
      </w:pPr>
      <w:r>
        <w:t>NCCN Testing Criteria Assessment</w:t>
      </w:r>
    </w:p>
    <w:p>
      <w:r>
        <w:t>Criteria: Personal history of breast cancer at age ≤50 years: Yes, diagnosed at 34., Triple-negative breast cancer: Yes, ER, PR, and HER2 negative., Family history of pancreatic cancer: Yes, father had pancreatic cancer.</w:t>
      </w:r>
    </w:p>
    <w:p>
      <w:pPr>
        <w:pStyle w:val="Heading1"/>
      </w:pPr>
      <w:r>
        <w:t>Conclusion</w:t>
      </w:r>
    </w:p>
    <w:p>
      <w:r>
        <w:t>The patient meets the NCCN testing criteria for high-penetrance breast cancer susceptibility genes based on personal history of early-onset breast cancer, triple-negative status, and family history of pancreatic cancer. Genetic testing for BRCA1, BRCA2, and other relevant genes is warranted.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