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34</w:t>
      </w:r>
    </w:p>
    <w:p>
      <w:r>
        <w:t>Age of Diagnosis: 56</w:t>
      </w:r>
    </w:p>
    <w:p>
      <w:r>
        <w:t>Family History: Sister with ovarian cancer</w:t>
      </w:r>
    </w:p>
    <w:p>
      <w:r>
        <w:t>Diagnosis: Invasive breast carcinoma of no special type, grade 3.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Patient with breast cancer diagnosed at age 56, ER-negative, PR-negative, HER2-negative., Sister with ovarian cancer diagnosed at age 55.</w:t>
      </w:r>
    </w:p>
    <w:p>
      <w:pPr>
        <w:pStyle w:val="ListBullet"/>
      </w:pPr>
      <w:r>
        <w:t xml:space="preserve">    Generation IV: Children, Nieces, Nephews</w:t>
      </w:r>
    </w:p>
    <w:p>
      <w:r>
        <w:t>Visual Link:</w:t>
      </w:r>
    </w:p>
    <w:p>
      <w:pPr>
        <w:pStyle w:val="Heading1"/>
      </w:pPr>
      <w:r>
        <w:t>NCCN Testing Criteria Assessment</w:t>
      </w:r>
    </w:p>
    <w:p>
      <w:r>
        <w:t>Criteria Met: Any age with Triple-negative breast cancer., Any age with ≥ 1 close blood relative with ovarian cancer.</w:t>
      </w:r>
    </w:p>
    <w:p>
      <w:pPr>
        <w:pStyle w:val="Heading1"/>
      </w:pPr>
      <w:r>
        <w:t>Conclusion</w:t>
      </w:r>
    </w:p>
    <w:p>
      <w:r>
        <w:t>The patient is eligible for NCCN testing criteria. The presence of triple-negative breast cancer and a close blood relative with ovarian cancer justify consideration for genetic testing for high-penetrance breast cancer susceptibility genes such as BRCA1 and BRCA2. It is recommended to consult with a genetic counselor for further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