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Diagnosis: Invasive breast carcinoma of no special type, grade 3;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Aunts, Uncles</w:t>
      </w:r>
    </w:p>
    <w:p>
      <w:pPr>
        <w:pStyle w:val="ListBullet"/>
      </w:pPr>
      <w:r>
        <w:t xml:space="preserve">    Generation II: Patient's sister diagnosed with ovarian cancer at age 55.</w:t>
      </w:r>
    </w:p>
    <w:p>
      <w:pPr>
        <w:pStyle w:val="ListBullet"/>
      </w:pPr>
      <w:r>
        <w:t xml:space="preserve">    Generation III: The patient, diagnosed with breast cancer at age 56.</w:t>
      </w:r>
    </w:p>
    <w:p>
      <w:pPr>
        <w:pStyle w:val="ListBullet"/>
      </w:pPr>
      <w:r>
        <w:t xml:space="preserve">    Generation IV: Children, Nieces, Nephews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cancer., Any age with ≥ 1 close blood relative with ovarian cancer.</w:t>
      </w:r>
    </w:p>
    <w:p>
      <w:r>
        <w:t>Criteria Not Met: Personal history of breast cancer with age ≤50 y.</w:t>
      </w:r>
    </w:p>
    <w:p>
      <w:pPr>
        <w:pStyle w:val="Heading1"/>
      </w:pPr>
      <w:r>
        <w:t>Conclusion</w:t>
      </w:r>
    </w:p>
    <w:p>
      <w:r>
        <w:t>The patient is eligible for the NCCN testing criteria due to the diagnosis of triple-negative breast cancer and having a sister with ovarian cancer. This suggests testing for high-penetrance breast cancer susceptibility genes such as BRCA1 and BRCA2.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