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Case of invasive breast carcinoma.</w:t>
      </w:r>
    </w:p>
    <w:p>
      <w:r>
        <w:t>Specimen: Not specified in the document.</w:t>
      </w:r>
    </w:p>
    <w:p>
      <w:r>
        <w:t>Diagnosis: Invasive breast carcinoma of no special type, grade 1.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Great Aunts, Great Uncle with male breast cancer</w:t>
      </w:r>
    </w:p>
    <w:p>
      <w:pPr>
        <w:pStyle w:val="ListBullet"/>
      </w:pPr>
      <w:r>
        <w:t xml:space="preserve">    Generation II: Paternal uncle with male breast cancer</w:t>
      </w:r>
    </w:p>
    <w:p>
      <w:pPr>
        <w:pStyle w:val="ListBullet"/>
      </w:pPr>
      <w:r>
        <w:t xml:space="preserve">    Generation III: Affected patient, diagnosed at age 68 with invasive breast carcinoma.</w:t>
      </w:r>
    </w:p>
    <w:p>
      <w:pPr>
        <w:pStyle w:val="ListBullet"/>
      </w:pPr>
      <w:r>
        <w:t xml:space="preserve">    Generation IV: Children, Nieces, Nephews</w:t>
      </w:r>
    </w:p>
    <w:p>
      <w:r>
        <w:t>Image Link or Description: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diagnosis at age &gt;50., Family history: Paternal uncle with male breast cancer.</w:t>
      </w:r>
    </w:p>
    <w:p>
      <w:pPr>
        <w:pStyle w:val="Heading1"/>
      </w:pPr>
      <w:r>
        <w:t>Conclusion</w:t>
      </w:r>
    </w:p>
    <w:p>
      <w:r>
        <w:t>The patient is eligible for NCCN genetic testing criteria due to the family history of male breast cancer in a paternal uncle, despite the personal cancer diagnosis occurring at an age greater than 50. Genetic testing for high-penetrance breast cancer susceptibility genes, such as BRCA1 and BRCA2, is recommended given the family history and positive hormone receptor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