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cancer, for review.</w:t>
      </w:r>
    </w:p>
    <w:p>
      <w:r>
        <w:t>Case Number: 36</w:t>
      </w:r>
    </w:p>
    <w:p>
      <w:r>
        <w:t>Age of Diagnosis: 50</w:t>
      </w:r>
    </w:p>
    <w:p>
      <w:r>
        <w:t>Diagnosis: Invasive breast carcinoma of no special type, grade 2.</w:t>
      </w:r>
    </w:p>
    <w:p>
      <w:r>
        <w:t>Additional Findings: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Father with metastatic prostate cancer., Paternal uncle with metastatic prostate cancer.</w:t>
      </w:r>
    </w:p>
    <w:p>
      <w:pPr>
        <w:pStyle w:val="ListBullet"/>
      </w:pPr>
      <w:r>
        <w:t xml:space="preserve">    Generation III: Female diagnosed with breast cancer at age 50 (case 36).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≤50 years: The patient was diagnosed at age 50, meeting this criterion., Triple-negative breast cancer: The patient is ER-negative and PR-negative, but HER2-positive (not triple-negative)., ≥ 1 close blood relative with prostate cancer with metastatic disease: Both father and paternal uncle have metastatic prostate cancer, meeting this criterion.</w:t>
      </w:r>
    </w:p>
    <w:p>
      <w:pPr>
        <w:pStyle w:val="Heading1"/>
      </w:pPr>
      <w:r>
        <w:t>Conclusion</w:t>
      </w:r>
    </w:p>
    <w:p>
      <w:r>
        <w:t>The patient is eligible for NCCN testing criteria.</w:t>
      </w:r>
    </w:p>
    <w:p>
      <w:r>
        <w:t>Given the patient's age at diagnosis (50) and family history of metastatic prostate cancer in close relatives, the criteria for testing for high-penetrance breast cancer susceptibility genes are met. Testing for genes such as BRCA1, BRCA2, and others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