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Biopsy analysis.</w:t>
      </w:r>
    </w:p>
    <w:p>
      <w:r>
        <w:t>Diagnosis: Invasive breast carcinoma of no special type, grade 2.</w:t>
      </w:r>
    </w:p>
    <w:p>
      <w:r>
        <w:t>DCIS: Intermediate grade ductal carcinoma in situ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Grandparents, some unknown health details.</w:t>
      </w:r>
    </w:p>
    <w:p>
      <w:pPr>
        <w:pStyle w:val="ListBullet"/>
      </w:pPr>
      <w:r>
        <w:t xml:space="preserve">    Generation II: Father and paternal uncle with metastatic prostate cancer.</w:t>
      </w:r>
    </w:p>
    <w:p>
      <w:pPr>
        <w:pStyle w:val="ListBullet"/>
      </w:pPr>
      <w:r>
        <w:t xml:space="preserve">    Generation III: Patient diagnosed with breast cancer at age 50, ER-negative, PR-negative, HER2-positive.</w:t>
      </w:r>
    </w:p>
    <w:p>
      <w:pPr>
        <w:pStyle w:val="ListBullet"/>
      </w:pPr>
      <w:r>
        <w:t xml:space="preserve">    Generation IV: Information about offspring or other close relatives not detailed.</w:t>
      </w:r>
    </w:p>
    <w:p>
      <w:pPr>
        <w:pStyle w:val="Heading1"/>
      </w:pPr>
      <w:r>
        <w:t>NCCN Testing Criteria Assessment</w:t>
      </w:r>
    </w:p>
    <w:p>
      <w:r>
        <w:t>Criteria Met: Personal history of breast cancer at age ≤ 50 years., HER2-positive status alone does not directly factor, but other risk factors align.</w:t>
      </w:r>
    </w:p>
    <w:p>
      <w:r>
        <w:t>Family Criteria: Paternal family history includes metastatic prostate cancer, but no females diagnosed with breast cancer at ≤ 50 years.</w:t>
      </w:r>
    </w:p>
    <w:p>
      <w:pPr>
        <w:pStyle w:val="Heading1"/>
      </w:pPr>
      <w:r>
        <w:t>Conclusion</w:t>
      </w:r>
    </w:p>
    <w:p>
      <w:r>
        <w:t>The patient meets the NCCN testing criteria based on a personal history of breast cancer at age 50, and HER2-positive status. Family history further supports genetic testing consideration due to metastatic prostate cancer in close relatives. Given these factors, genetic testing for high-penetrance genes such as BRCA1 and BRCA2 is warranted.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