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37</w:t>
      </w:r>
    </w:p>
    <w:p>
      <w:r>
        <w:t>Age of Diagnosis: 45</w:t>
      </w:r>
    </w:p>
    <w:p>
      <w:r>
        <w:t>Family History: Maternal cousin breast cancer at age 49</w:t>
      </w:r>
    </w:p>
    <w:p>
      <w:r>
        <w:t>Diagnosis: Invasive breast carcinoma of no special type, grade 1. Intermediate grade ductal carcinoma in situ (DCIS) with a solid pattern.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Great Aunts, Great Uncle</w:t>
      </w:r>
    </w:p>
    <w:p>
      <w:pPr>
        <w:pStyle w:val="ListBullet"/>
      </w:pPr>
      <w:r>
        <w:t xml:space="preserve">    Generation II: Maternal cousin with breast cancer diagnosed at age 49</w:t>
      </w:r>
    </w:p>
    <w:p>
      <w:pPr>
        <w:pStyle w:val="ListBullet"/>
      </w:pPr>
      <w:r>
        <w:t xml:space="preserve">    Generation III: The patient, a female, diagnosed with invasive breast carcinoma at age 45, Triple-negative (ER-, PR-, HER2-)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 50 years (diagnosed at 45), Any age with Triple-negative breast cancer, Any age with ≥ 1 close blood relative with breast cancer at age ≤ 50 (maternal cousin diagnosed at 49)</w:t>
      </w:r>
    </w:p>
    <w:p>
      <w:pPr>
        <w:pStyle w:val="Heading1"/>
      </w:pPr>
      <w:r>
        <w:t>Conclusion</w:t>
      </w:r>
    </w:p>
    <w:p>
      <w:r>
        <w:t>The patient is eligible for NCCN testing based on multiple criteria met: personal history of breast cancer diagnosed before the age of 50, triple-negative breast cancer, and a maternal cousin with breast cancer diagnosed before age 50. Comprehensive genetic testing for high-penetrance breast cancer susceptibility genes, including BRCA1 and BRCA2,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