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37</w:t>
      </w:r>
    </w:p>
    <w:p>
      <w:r>
        <w:t>Diagnosis: Invasive breast carcinoma of no special type, grade 1. Intermediate grade ductal carcinoma in situ (DCIS) with a solid pattern.</w:t>
      </w:r>
    </w:p>
    <w:p>
      <w:r>
        <w:t>Age of Diagnosis: 45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Great Aunts, Great Uncle</w:t>
      </w:r>
    </w:p>
    <w:p>
      <w:pPr>
        <w:pStyle w:val="ListBullet"/>
      </w:pPr>
      <w:r>
        <w:t xml:space="preserve">    Generation II: Aunts, Uncles</w:t>
      </w:r>
    </w:p>
    <w:p>
      <w:pPr>
        <w:pStyle w:val="ListBullet"/>
      </w:pPr>
      <w:r>
        <w:t xml:space="preserve">    Generation III: Patient, diagnosed with breast cancer at age 45 with triple-negative status., Maternal cousin with breast cancer at age 49.</w:t>
      </w:r>
    </w:p>
    <w:p>
      <w:pPr>
        <w:pStyle w:val="ListBullet"/>
      </w:pPr>
      <w:r>
        <w:t xml:space="preserve">    Generation IV: Children, Nieces, Nephews</w:t>
      </w:r>
    </w:p>
    <w:p>
      <w:r>
        <w:t>Significant Familial Links:</w:t>
      </w:r>
    </w:p>
    <w:p>
      <w:pPr>
        <w:pStyle w:val="Heading1"/>
      </w:pPr>
      <w:r>
        <w:t>NCCN Testing Criteria Assessment</w:t>
      </w:r>
    </w:p>
    <w:p>
      <w:r>
        <w:t>Criteria Met: Personal history of breast cancer at age ≤50 years., Any age with Triple-negative breast cancer., Close blood relative (maternal cousin) with breast cancer at age ≤50.</w:t>
      </w:r>
    </w:p>
    <w:p>
      <w:pPr>
        <w:pStyle w:val="Heading1"/>
      </w:pPr>
      <w:r>
        <w:t>Conclusion</w:t>
      </w:r>
    </w:p>
    <w:p>
      <w:r>
        <w:t>The patient meets multiple NCCN criteria for testing, including being diagnosed with breast cancer at age 45, triple-negative status, and a close blood relative with early-onset breast cancer. Therefore, the patient is eligible for genetic testing following NCCN guidelines for high-penetrance breast cancer susceptibility 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