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39</w:t>
      </w:r>
    </w:p>
    <w:p>
      <w:r>
        <w:t>Age of Diagnosis: 30</w:t>
      </w:r>
    </w:p>
    <w:p>
      <w:r>
        <w:t>Diagnosis: Invasive breast carcinoma of no special type, grade 2.</w:t>
      </w:r>
    </w:p>
    <w:p>
      <w:r>
        <w:t>Ductal Carcinoma In Situ (DCIS): Intermediate grade with a solid pattern.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Uncles</w:t>
      </w:r>
    </w:p>
    <w:p>
      <w:pPr>
        <w:pStyle w:val="ListBullet"/>
      </w:pPr>
      <w:r>
        <w:t xml:space="preserve">    Generation II: Mother</w:t>
      </w:r>
    </w:p>
    <w:p>
      <w:pPr>
        <w:pStyle w:val="ListBullet"/>
      </w:pPr>
      <w:r>
        <w:t xml:space="preserve">    Generation III: Patient, diagnosed with breast cancer at age 30, ER-negative, PR-negative, HER2-negative., Sister diagnosed with ovarian cancer.</w:t>
      </w:r>
    </w:p>
    <w:p>
      <w:pPr>
        <w:pStyle w:val="ListBullet"/>
      </w:pPr>
      <w:r>
        <w:t xml:space="preserve">    Generation IV: Children, Nieces, Nephews</w:t>
      </w:r>
    </w:p>
    <w:p>
      <w:r>
        <w:t>Family Health History:</w:t>
      </w:r>
    </w:p>
    <w:p>
      <w:pPr>
        <w:pStyle w:val="Heading1"/>
      </w:pPr>
      <w:r>
        <w:t>NCCN Testing Criteria Assessment</w:t>
      </w:r>
    </w:p>
    <w:p>
      <w:r>
        <w:t>Criteria Met: Personal history of breast cancer at age ≤50 years., Triple-negative breast cancer., Close blood relative (sister) with ovarian cancer.</w:t>
      </w:r>
    </w:p>
    <w:p>
      <w:pPr>
        <w:pStyle w:val="Heading1"/>
      </w:pPr>
      <w:r>
        <w:t>Conclusion</w:t>
      </w:r>
    </w:p>
    <w:p>
      <w:r>
        <w:t>The patient is eligible for NCCN testing based on multiple criteria: diagnosis of breast cancer at age 30, triple-negative breast cancer status, and a close blood relative (sister) with ovarian cancer. Genetic testing for high-penetrance breast cancer susceptibility genes like BRCA1 and BRCA2 is recommended due to these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