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4</w:t>
      </w:r>
    </w:p>
    <w:p>
      <w:r>
        <w:t>Diagnosis Age: 55</w:t>
      </w:r>
    </w:p>
    <w:p>
      <w:r>
        <w:t>Diagnosis: Invasive ductal carcinoma, grade 3. High-grade ductal carcinoma in situ (DCIS) with comedo necrosis.</w:t>
      </w:r>
    </w:p>
    <w:p>
      <w:r>
        <w:t>Hormone 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Positive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Maternal grandmother with breast cancer at age 42.</w:t>
      </w:r>
    </w:p>
    <w:p>
      <w:pPr>
        <w:pStyle w:val="ListBullet"/>
      </w:pPr>
      <w:r>
        <w:t xml:space="preserve">    Generation II: Parents</w:t>
      </w:r>
    </w:p>
    <w:p>
      <w:pPr>
        <w:pStyle w:val="ListBullet"/>
      </w:pPr>
      <w:r>
        <w:t xml:space="preserve">    Generation III: The patient diagnosed with breast cancer at age 55.</w:t>
      </w:r>
    </w:p>
    <w:p>
      <w:r>
        <w:t>Image Description: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y: Not met (diagnosed at 55)., Any age with ≥ 1 close blood relative with breast cancer at age ≤50: Met (maternal grandmother diagnosed at 42).</w:t>
      </w:r>
    </w:p>
    <w:p>
      <w:pPr>
        <w:pStyle w:val="Heading1"/>
      </w:pPr>
      <w:r>
        <w:t>Conclusion</w:t>
      </w:r>
    </w:p>
    <w:p>
      <w:r>
        <w:t>The patient is eligible for NCCN testing criteria due to a family history of breast cancer with the maternal grandmother diagnosed at a young age (42). Genetic testing for high-penetrance breast cancer susceptibility genes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