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29-year-old patient diagnosed with breast cancer.</w:t>
      </w:r>
    </w:p>
    <w:p>
      <w:r>
        <w:t>Specimen: Not specified in the document.</w:t>
      </w:r>
    </w:p>
    <w:p>
      <w:r>
        <w:t>Diagnosis: Invasive carcinoma with lobular features (Grade 1).</w:t>
      </w:r>
    </w:p>
    <w:p>
      <w:r>
        <w:t>Receptor Status:</w:t>
      </w:r>
    </w:p>
    <w:p>
      <w:pPr>
        <w:pStyle w:val="ListBullet"/>
      </w:pPr>
      <w:r>
        <w:t xml:space="preserve">    Estrogen Receptors: Positive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HER-2/neu: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Uncles</w:t>
      </w:r>
    </w:p>
    <w:p>
      <w:pPr>
        <w:pStyle w:val="ListBullet"/>
      </w:pPr>
      <w:r>
        <w:t xml:space="preserve">    Generation II: Aunts, Uncles</w:t>
      </w:r>
    </w:p>
    <w:p>
      <w:pPr>
        <w:pStyle w:val="ListBullet"/>
      </w:pPr>
      <w:r>
        <w:t xml:space="preserve">    Generation III: The patient, diagnosed with breast cancer at age 29., Cousin with breast cancer diagnosed at age 48.</w:t>
      </w:r>
    </w:p>
    <w:p>
      <w:pPr>
        <w:pStyle w:val="ListBullet"/>
      </w:pPr>
      <w:r>
        <w:t xml:space="preserve">    Generation IV: Children, Nieces, Nephews</w:t>
      </w:r>
    </w:p>
    <w:p>
      <w:r>
        <w:t>Analysis:</w:t>
      </w:r>
    </w:p>
    <w:p>
      <w:pPr>
        <w:pStyle w:val="Heading1"/>
      </w:pPr>
      <w:r>
        <w:t>NCCN Testing Criteria Assessment</w:t>
      </w:r>
    </w:p>
    <w:p>
      <w:r>
        <w:t>Criteria: Personal history of breast cancer at age ≤50: Met, as the patient was diagnosed at age 29., Close blood relative with breast cancer at age ≤50: Met, as the cousin was diagnosed at age 48.</w:t>
      </w:r>
    </w:p>
    <w:p>
      <w:pPr>
        <w:pStyle w:val="Heading1"/>
      </w:pPr>
      <w:r>
        <w:t>Conclusion</w:t>
      </w:r>
    </w:p>
    <w:p>
      <w:r>
        <w:t>The patient meets the NCCN criteria for genetic testing due to personal history of early-onset breast cancer (diagnosed at age 29) and having a cousin who was diagnosed with breast cancer at age 48. Genetic testing for high-penetrance breast cancer susceptibility genes, including BRCA1 and BRCA2, is recommended to better understand the hereditary risks and inform management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