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Patient diagnosed with invasive carcinoma with lobular features.</w:t>
      </w:r>
    </w:p>
    <w:p>
      <w:r>
        <w:t>Specimen: Not specified.</w:t>
      </w:r>
    </w:p>
    <w:p>
      <w:r>
        <w:t>Diagnosis: Invasive carcinoma with lobular features (Grade 1).</w:t>
      </w:r>
    </w:p>
    <w:p>
      <w:r>
        <w:t>Receptor Status:</w:t>
      </w:r>
    </w:p>
    <w:p>
      <w:pPr>
        <w:pStyle w:val="ListBullet"/>
      </w:pPr>
      <w:r>
        <w:t xml:space="preserve">    ER Status: Positive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GPs, Great Aunts, Great Uncles</w:t>
      </w:r>
    </w:p>
    <w:p>
      <w:pPr>
        <w:pStyle w:val="ListBullet"/>
      </w:pPr>
      <w:r>
        <w:t xml:space="preserve">    Generation II: Aunts, Uncles</w:t>
      </w:r>
    </w:p>
    <w:p>
      <w:pPr>
        <w:pStyle w:val="ListBullet"/>
      </w:pPr>
      <w:r>
        <w:t xml:space="preserve">    Generation III: Patient diagnosed with breast cancer at age 29, ER-positive, PR-negative, HER2-positive., Cousin with breast cancer diagnosed at age 48.</w:t>
      </w:r>
    </w:p>
    <w:p>
      <w:pPr>
        <w:pStyle w:val="ListBullet"/>
      </w:pPr>
      <w:r>
        <w:t xml:space="preserve">    Generation IV: Children, Nieces, Nephews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age ≤50 years: The patient was diagnosed at age 29., Close blood relative with breast cancer at age ≤50: The patient's cousin was diagnosed at age 48.</w:t>
      </w:r>
    </w:p>
    <w:p>
      <w:pPr>
        <w:pStyle w:val="Heading1"/>
      </w:pPr>
      <w:r>
        <w:t>Conclusion</w:t>
      </w:r>
    </w:p>
    <w:p>
      <w:r>
        <w:t>The patient meets the NCCN testing criteria due to the diagnosis of breast cancer at age 29 and a close relative diagnosed at age 48. Therefore, they are eligible for testing for high-penetrance breast cancer susceptibility genes such as BRCA1, BRCA2, etc. This testing can provide important insights into potential hereditary patterns in the family.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