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41</w:t>
      </w:r>
    </w:p>
    <w:p>
      <w:r>
        <w:t>Age of Diagnosis: 75</w:t>
      </w:r>
    </w:p>
    <w:p>
      <w:r>
        <w:t>Diagnosis: Invasive breast carcinoma of no special type, grade 2.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Great Aunts, Great Uncle</w:t>
      </w:r>
    </w:p>
    <w:p>
      <w:pPr>
        <w:pStyle w:val="ListBullet"/>
      </w:pPr>
      <w:r>
        <w:t xml:space="preserve">    Generation II: Aunts, Uncles</w:t>
      </w:r>
    </w:p>
    <w:p>
      <w:pPr>
        <w:pStyle w:val="ListBullet"/>
      </w:pPr>
      <w:r>
        <w:t xml:space="preserve">    Generation III: Patient: Female, diagnosed with breast cancer at age 75, ER-negative, PR-negative, HER2-positive.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Criteria: Triple-negative breast cancer at any age: The patient is not eligible as the cancer is HER2-positive., Family history: No family history of cancer is mentioned in the document or image.</w:t>
      </w:r>
    </w:p>
    <w:p>
      <w:pPr>
        <w:pStyle w:val="Heading1"/>
      </w:pPr>
      <w:r>
        <w:t>Conclusion</w:t>
      </w:r>
    </w:p>
    <w:p>
      <w:r>
        <w:t>The patient does not meet the NCCN testing criteria for high-penetrance breast cancer susceptibility genes due to the lack of triple-negative status, no personal history of breast cancer at age ≤50, and no notable family history of related cancers. Given the patient's current age and cancer characteristics, NCCN testing is not indicated.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