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Case Number: 43</w:t>
      </w:r>
    </w:p>
    <w:p>
      <w:r>
        <w:t>Age of Diagnosis: 38</w:t>
      </w:r>
    </w:p>
    <w:p>
      <w:r>
        <w:t>Diagnosis:</w:t>
      </w:r>
    </w:p>
    <w:p>
      <w:pPr>
        <w:pStyle w:val="ListBullet"/>
      </w:pPr>
      <w:r>
        <w:t xml:space="preserve">    Invasive Ductal Carcinoma: High-grade invasive ductal carcinoma, grade 3</w:t>
      </w:r>
    </w:p>
    <w:p>
      <w:pPr>
        <w:pStyle w:val="ListBullet"/>
      </w:pPr>
      <w:r>
        <w:t xml:space="preserve">    Ductal Carcinoma In Situ (DCIS): High grade with comedo necrosis</w:t>
      </w:r>
    </w:p>
    <w:p>
      <w:r>
        <w:t>Hormone Receptor Status:</w:t>
      </w:r>
    </w:p>
    <w:p>
      <w:pPr>
        <w:pStyle w:val="ListBullet"/>
      </w:pPr>
      <w:r>
        <w:t xml:space="preserve">    ER Status: Positive</w:t>
      </w:r>
    </w:p>
    <w:p>
      <w:pPr>
        <w:pStyle w:val="ListBullet"/>
      </w:pPr>
      <w:r>
        <w:t xml:space="preserve">    PR Status: Positive</w:t>
      </w:r>
    </w:p>
    <w:p>
      <w:pPr>
        <w:pStyle w:val="ListBullet"/>
      </w:pPr>
      <w:r>
        <w:t xml:space="preserve">    HER2 Status: Positive</w:t>
      </w:r>
    </w:p>
    <w:p>
      <w:pPr>
        <w:pStyle w:val="Heading1"/>
      </w:pPr>
      <w:r>
        <w:t>Pedigree Analysis</w:t>
      </w:r>
    </w:p>
    <w:p>
      <w:r>
        <w:t>Visual Representation:</w:t>
      </w:r>
    </w:p>
    <w:p>
      <w:r>
        <w:t>Generations:</w:t>
      </w:r>
    </w:p>
    <w:p>
      <w:pPr>
        <w:pStyle w:val="ListBullet"/>
      </w:pPr>
      <w:r>
        <w:t xml:space="preserve">    Generation I: Grandfather had metastatic prostate cancer</w:t>
      </w:r>
    </w:p>
    <w:p>
      <w:pPr>
        <w:pStyle w:val="ListBullet"/>
      </w:pPr>
      <w:r>
        <w:t xml:space="preserve">    Generation II: </w:t>
      </w:r>
    </w:p>
    <w:p>
      <w:pPr>
        <w:pStyle w:val="ListBullet"/>
      </w:pPr>
      <w:r>
        <w:t xml:space="preserve">    Generation III: Patient diagnosed with ER-positive, PR-positive, HER2-positive breast cancer at age 38</w:t>
      </w:r>
    </w:p>
    <w:p>
      <w:pPr>
        <w:pStyle w:val="ListBullet"/>
      </w:pPr>
      <w:r>
        <w:t xml:space="preserve">    Generation IV: </w:t>
      </w:r>
    </w:p>
    <w:p>
      <w:pPr>
        <w:pStyle w:val="Heading1"/>
      </w:pPr>
      <w:r>
        <w:t>NCCN Testing Criteria Assessment</w:t>
      </w:r>
    </w:p>
    <w:p>
      <w:r>
        <w:t>Criteria Met: Personal history of breast cancer with age ≤50 years, Family history of metastatic prostate cancer</w:t>
      </w:r>
    </w:p>
    <w:p>
      <w:pPr>
        <w:pStyle w:val="Heading1"/>
      </w:pPr>
      <w:r>
        <w:t>Conclusion</w:t>
      </w:r>
    </w:p>
    <w:p>
      <w:r>
        <w:t>The patient meets the NCCN testing criteria due to the diagnosis of breast cancer at age ≤50 and the family history of metastatic prostate cancer. Testing for high-penetrance breast cancer susceptibility genes such as BRCA1, BRCA2, and others is recommended.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