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cancer.</w:t>
      </w:r>
    </w:p>
    <w:p>
      <w:r>
        <w:t>Specimen: Not specified.</w:t>
      </w:r>
    </w:p>
    <w:p>
      <w:r>
        <w:t>Diagnosis: Invasive carcinoma with lobular features (Grade 2).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Mother: Diagnosed with breast cancer at age 52.</w:t>
      </w:r>
    </w:p>
    <w:p>
      <w:pPr>
        <w:pStyle w:val="ListBullet"/>
      </w:pPr>
      <w:r>
        <w:t xml:space="preserve">    Generation III: Affected Patient: Diagnosed with breast cancer at age 45.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 50 years: Met (diagnosis at age 45)., Triple-negative breast cancer: Not Met (HER2 positive)., Lobular breast cancer with personal or family history of diffuse gastric cancer: Not Met (no gastric cancer noted)., Family history of breast cancer: Met (mother diagnosed with breast cancer).</w:t>
      </w:r>
    </w:p>
    <w:p>
      <w:pPr>
        <w:pStyle w:val="Heading1"/>
      </w:pPr>
      <w:r>
        <w:t>Conclusion</w:t>
      </w:r>
    </w:p>
    <w:p>
      <w:r>
        <w:t>The patient meets the NCCN criteria for genetic testing due to a personal history of breast cancer diagnosed at age 45 and a family history of breast cancer. Genetic testing for high-penetrance breast cancer susceptibility genes, such as BRCA1 and BRCA2,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