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45</w:t>
      </w:r>
    </w:p>
    <w:p>
      <w:r>
        <w:t>Age of Diagnosis: 56</w:t>
      </w:r>
    </w:p>
    <w:p>
      <w:r>
        <w:t>Diagnosis: Invasive ductal carcinoma, grade 3 with high-grade ductal carcinoma in situ (DCIS) and comedo necrosis.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Siblings, Cousins</w:t>
      </w:r>
    </w:p>
    <w:p>
      <w:pPr>
        <w:pStyle w:val="ListBullet"/>
      </w:pPr>
      <w:r>
        <w:t xml:space="preserve">    Generation IV: Children, Nieces, Nephews</w:t>
      </w:r>
    </w:p>
    <w:p>
      <w:r>
        <w:t>Notes:</w:t>
      </w:r>
    </w:p>
    <w:p>
      <w:pPr>
        <w:pStyle w:val="Heading1"/>
      </w:pPr>
      <w:r>
        <w:t>NCCN Testing Criteria Assessment</w:t>
      </w:r>
    </w:p>
    <w:p>
      <w:r>
        <w:t>Criteria Met: Triple-negative breast cancer at any age.</w:t>
      </w:r>
    </w:p>
    <w:p>
      <w:r>
        <w:t>Criteria Not Met: Personal history of breast cancer with age ≤50 y., Multiple primary breast cancers., Lobular breast cancer with personal or family history of diffuse gastric cancer., Male breast cancer., Ancestry: Ashkenazi Jewish ancestry., ≥ 1 close blood relative with breast cancer at age ≤50., ≥ 1 close blood relative with male breast cancer., ≥ 1 close blood relative with ovarian cancer., ≥ 1 close blood relative with pancreatic cancer., ≥ 1 close blood relative with prostate cancer with metastatic/high/very-high-risk group., ≥ 3 diagnoses of breast and/or prostate cancer on the same side of the family including the patient.</w:t>
      </w:r>
    </w:p>
    <w:p>
      <w:pPr>
        <w:pStyle w:val="Heading1"/>
      </w:pPr>
      <w:r>
        <w:t>Conclusion</w:t>
      </w:r>
    </w:p>
    <w:p>
      <w:r>
        <w:t>The patient is eligible for NCCN testing criteria due to triple-negative breast cancer at any age.</w:t>
      </w:r>
    </w:p>
    <w:p>
      <w:r>
        <w:t>The patient's triple-negative breast cancer status qualifies them for genetic testing under the NCCN guidelines. No additional family history of breast or related cancers is indicated, aligning with the criteria for triple-negative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