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46</w:t>
      </w:r>
    </w:p>
    <w:p>
      <w:r>
        <w:t>Age of Diagnosis: 29</w:t>
      </w:r>
    </w:p>
    <w:p>
      <w:r>
        <w:t>Diagnosis: Invasive breast carcinoma of no special type, grade 2;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Description:</w:t>
      </w:r>
    </w:p>
    <w:p>
      <w:r>
        <w:t>Generations:</w:t>
      </w:r>
    </w:p>
    <w:p>
      <w:pPr>
        <w:pStyle w:val="ListBullet"/>
      </w:pPr>
      <w:r>
        <w:t xml:space="preserve">    Generation I: GPs, Aunts, Great Uncle</w:t>
      </w:r>
    </w:p>
    <w:p>
      <w:pPr>
        <w:pStyle w:val="ListBullet"/>
      </w:pPr>
      <w:r>
        <w:t xml:space="preserve">    Generation II: The patient's sister with triple-negative breast cancer at age 45.</w:t>
      </w:r>
    </w:p>
    <w:p>
      <w:pPr>
        <w:pStyle w:val="ListBullet"/>
      </w:pPr>
      <w:r>
        <w:t xml:space="preserve">    Generation III: The patient, diagnosed with invasive breast carcinoma at age 29.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Patient was diagnosed at age 29., Family history of triple-negative breast cancer: Sister diagnosed with triple-negative breast cancer.</w:t>
      </w:r>
    </w:p>
    <w:p>
      <w:pPr>
        <w:pStyle w:val="Heading1"/>
      </w:pPr>
      <w:r>
        <w:t>Conclusion</w:t>
      </w:r>
    </w:p>
    <w:p>
      <w:r>
        <w:t>The patient is eligible for NCCN testing criteria.</w:t>
      </w:r>
    </w:p>
    <w:p>
      <w:r>
        <w:t>The patient's young age at diagnosis (29) and the family history of a sister with triple-negative breast cancer meet the NCCN guidelines for genetic testing for high-penetrance breast cancer susceptibility genes such as BRCA1 and BRCA2. The recommendation for genetic testing is strongly 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