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46</w:t>
      </w:r>
    </w:p>
    <w:p>
      <w:r>
        <w:t>Age of Diagnosis: 29</w:t>
      </w:r>
    </w:p>
    <w:p>
      <w:r>
        <w:t>Diagnosis: Invasive breast carcinoma of no special type, grade 2.</w:t>
      </w:r>
    </w:p>
    <w:p>
      <w:r>
        <w:t>Additional Findings: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Estrogen Receptor (ER) Status: Positive</w:t>
      </w:r>
    </w:p>
    <w:p>
      <w:pPr>
        <w:pStyle w:val="ListBullet"/>
      </w:pPr>
      <w:r>
        <w:t xml:space="preserve">    Progesterone Receptor (PR)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Patient diagnosed with breast cancer at age 29., Sister diagnosed with triple-negative breast cancer at age 45.</w:t>
      </w:r>
    </w:p>
    <w:p>
      <w:pPr>
        <w:pStyle w:val="ListBullet"/>
      </w:pPr>
      <w:r>
        <w:t xml:space="preserve">    Generation IV: </w:t>
      </w:r>
    </w:p>
    <w:p>
      <w:r>
        <w:t>Image Description: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y, Family history: Sister with triple-negative breast cancer at age 45</w:t>
      </w:r>
    </w:p>
    <w:p>
      <w:pPr>
        <w:pStyle w:val="Heading1"/>
      </w:pPr>
      <w:r>
        <w:t>Conclusion</w:t>
      </w:r>
    </w:p>
    <w:p>
      <w:r>
        <w:t>The patient is eligible for NCCN testing criteria for high-penetrance breast cancer susceptibility genes.</w:t>
      </w:r>
    </w:p>
    <w:p>
      <w:r>
        <w:t>Due to a personal history of breast cancer diagnosed at age 29 and a sister diagnosed with triple-negative breast cancer at age 45, the patient meets the criteria for genetic testing. This includes consideration of testing for BRCA1, BRCA2, among other genes mentioned in the NCCN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