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A 50-year-old individual diagnosed with breast cancer.</w:t>
      </w:r>
    </w:p>
    <w:p>
      <w:r>
        <w:t>Diagnosis:</w:t>
      </w:r>
    </w:p>
    <w:p>
      <w:pPr>
        <w:pStyle w:val="ListBullet"/>
      </w:pPr>
      <w:r>
        <w:t xml:space="preserve">    Invasive Ductal Carcinoma: High-grade, grade 3</w:t>
      </w:r>
    </w:p>
    <w:p>
      <w:pPr>
        <w:pStyle w:val="ListBullet"/>
      </w:pPr>
      <w:r>
        <w:t xml:space="preserve">    Ductal Carcinoma In Situ: High grade with comedo necrosis</w:t>
      </w:r>
    </w:p>
    <w:p>
      <w:r>
        <w:t>Receptor Status:</w:t>
      </w:r>
    </w:p>
    <w:p>
      <w:pPr>
        <w:pStyle w:val="ListBullet"/>
      </w:pPr>
      <w:r>
        <w:t xml:space="preserve">    ER Status: Positive</w:t>
      </w:r>
    </w:p>
    <w:p>
      <w:pPr>
        <w:pStyle w:val="ListBullet"/>
      </w:pPr>
      <w:r>
        <w:t xml:space="preserve">    PR Status: Positive</w:t>
      </w:r>
    </w:p>
    <w:p>
      <w:pPr>
        <w:pStyle w:val="ListBullet"/>
      </w:pPr>
      <w:r>
        <w:t xml:space="preserve">    HER2 Status: Negative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</w:t>
      </w:r>
    </w:p>
    <w:p>
      <w:pPr>
        <w:pStyle w:val="ListBullet"/>
      </w:pPr>
      <w:r>
        <w:t xml:space="preserve">    Generation II: Cousin: Diagnosed with male breast cancer at age 35.</w:t>
      </w:r>
    </w:p>
    <w:p>
      <w:pPr>
        <w:pStyle w:val="ListBullet"/>
      </w:pPr>
      <w:r>
        <w:t xml:space="preserve">    Generation III: </w:t>
      </w:r>
    </w:p>
    <w:p>
      <w:pPr>
        <w:pStyle w:val="ListBullet"/>
      </w:pPr>
      <w:r>
        <w:t xml:space="preserve">    Generation IV: </w:t>
      </w:r>
    </w:p>
    <w:p>
      <w:r>
        <w:t>Image:</w:t>
      </w:r>
    </w:p>
    <w:p>
      <w:pPr>
        <w:pStyle w:val="Heading1"/>
      </w:pPr>
      <w:r>
        <w:t>NCCN Testing Criteria Assessment</w:t>
      </w:r>
    </w:p>
    <w:p>
      <w:r>
        <w:t>Criteria: Personal history of breast cancer with age ≤50 years: Met, as the patient was diagnosed at age 50., Family history of male breast cancer: Met, with a cousin diagnosed with male breast cancer.</w:t>
      </w:r>
    </w:p>
    <w:p>
      <w:pPr>
        <w:pStyle w:val="Heading1"/>
      </w:pPr>
      <w:r>
        <w:t>Conclusion</w:t>
      </w:r>
    </w:p>
    <w:p>
      <w:r>
        <w:t>The patient is eligible for NCCN genetic testing based on multiple criteria. The diagnosis at age 50 and the presence of male breast cancer in a close relative strongly support the need for further genetic evaluation. Testing for high-penetrance breast cancer susceptibility genes, including BRCA1 and BRCA2, is recommended.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