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Medical Report</w:t>
      </w:r>
    </w:p>
    <w:p>
      <w:pPr>
        <w:pStyle w:val="Heading1"/>
      </w:pPr>
      <w:r>
        <w:t>Pathology Report Summary</w:t>
      </w:r>
    </w:p>
    <w:p>
      <w:r>
        <w:t>Case Number: 47</w:t>
      </w:r>
    </w:p>
    <w:p>
      <w:r>
        <w:t>Age of Diagnosis: 50</w:t>
      </w:r>
    </w:p>
    <w:p>
      <w:r>
        <w:t>Family History: Cousin with male breast cancer</w:t>
      </w:r>
    </w:p>
    <w:p>
      <w:r>
        <w:t>Diagnosis: Invasive ductal carcinoma, grade 3: High-grade invasive ductal carcinoma. Ductal carcinoma in situ (DCIS), high grade with comedo necrosis.</w:t>
      </w:r>
    </w:p>
    <w:p>
      <w:r>
        <w:t>Receptor Status:</w:t>
      </w:r>
    </w:p>
    <w:p>
      <w:pPr>
        <w:pStyle w:val="ListBullet"/>
      </w:pPr>
      <w:r>
        <w:t xml:space="preserve">    ER Status: Positive</w:t>
      </w:r>
    </w:p>
    <w:p>
      <w:pPr>
        <w:pStyle w:val="ListBullet"/>
      </w:pPr>
      <w:r>
        <w:t xml:space="preserve">    PR Status: Positive</w:t>
      </w:r>
    </w:p>
    <w:p>
      <w:pPr>
        <w:pStyle w:val="ListBullet"/>
      </w:pPr>
      <w:r>
        <w:t xml:space="preserve">    HER2 Status: Negative</w:t>
      </w:r>
    </w:p>
    <w:p>
      <w:pPr>
        <w:pStyle w:val="Heading1"/>
      </w:pPr>
      <w:r>
        <w:t>Pedigree Analysis</w:t>
      </w:r>
    </w:p>
    <w:p>
      <w:r>
        <w:t>Generations:</w:t>
      </w:r>
    </w:p>
    <w:p>
      <w:pPr>
        <w:pStyle w:val="ListBullet"/>
      </w:pPr>
      <w:r>
        <w:t xml:space="preserve">    Generation I: Great Aunts, Great Uncles</w:t>
      </w:r>
    </w:p>
    <w:p>
      <w:pPr>
        <w:pStyle w:val="ListBullet"/>
      </w:pPr>
      <w:r>
        <w:t xml:space="preserve">    Generation II: Aunts, Uncles</w:t>
      </w:r>
    </w:p>
    <w:p>
      <w:pPr>
        <w:pStyle w:val="ListBullet"/>
      </w:pPr>
      <w:r>
        <w:t xml:space="preserve">    Generation III: The patient, diagnosed with breast cancer at age 50., Cousin with male breast cancer.</w:t>
      </w:r>
    </w:p>
    <w:p>
      <w:pPr>
        <w:pStyle w:val="ListBullet"/>
      </w:pPr>
      <w:r>
        <w:t xml:space="preserve">    Generation IV: Children, Nieces, Nephews</w:t>
      </w:r>
    </w:p>
    <w:p>
      <w:r>
        <w:t>Family Link:</w:t>
      </w:r>
    </w:p>
    <w:p>
      <w:pPr>
        <w:pStyle w:val="Heading1"/>
      </w:pPr>
      <w:r>
        <w:t>NCCN Testing Criteria Assessment</w:t>
      </w:r>
    </w:p>
    <w:p>
      <w:r>
        <w:t>Criteria Met: Personal history of breast cancer with age ≤50 years., Any age with a close blood relative with male breast cancer.</w:t>
      </w:r>
    </w:p>
    <w:p>
      <w:pPr>
        <w:pStyle w:val="Heading1"/>
      </w:pPr>
      <w:r>
        <w:t>Conclusion</w:t>
      </w:r>
    </w:p>
    <w:p>
      <w:r>
        <w:t>The patient meets the NCCN criteria for high-penetrance breast cancer susceptibility gene testing. This includes a personal history of breast cancer diagnosed at age 50 and a close blood relative (cousin) with male breast cancer. It would be appropriate to consider testing for BRCA1, BRCA2, and other relevant genes per NCCN guidelines. The significant family history warrants genetic consultation and potential testing.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