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48</w:t>
      </w:r>
    </w:p>
    <w:p>
      <w:r>
        <w:t>Age of Diagnosis: 60</w:t>
      </w:r>
    </w:p>
    <w:p>
      <w:r>
        <w:t>Diagnosis: Invasive breast carcinoma of no special type, grade 3.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Grandfather: Diagnosed with pancreatic cancer.</w:t>
      </w:r>
    </w:p>
    <w:p>
      <w:pPr>
        <w:pStyle w:val="ListBullet"/>
      </w:pPr>
      <w:r>
        <w:t xml:space="preserve">    Generation II: Father: Diagnosed with pancreatic cancer.</w:t>
      </w:r>
    </w:p>
    <w:p>
      <w:pPr>
        <w:pStyle w:val="ListBullet"/>
      </w:pPr>
      <w:r>
        <w:t xml:space="preserve">    Generation III: Patient: Diagnosed with invasive breast carcinoma, age 60, Triple-negative.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cancer., Any age with ≥ 1 close blood relative with pancreatic cancer.</w:t>
      </w:r>
    </w:p>
    <w:p>
      <w:pPr>
        <w:pStyle w:val="Heading1"/>
      </w:pPr>
      <w:r>
        <w:t>Conclusion</w:t>
      </w:r>
    </w:p>
    <w:p>
      <w:r>
        <w:t>The patient is eligible for NCCN testing criteria based on having Triple-negative breast cancer and a family history of pancreatic cancer in close relatives. Testing for high-penetrance breast cancer susceptibility genes (including BRCA1, BRCA2, etc.) is recommended due to these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