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Not specified in the document.</w:t>
      </w:r>
    </w:p>
    <w:p>
      <w:r>
        <w:t>Diagnosis: Invasive breast carcinoma of no special type, grade 3 along with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Patient's Grandfather: Pancreatic cancer</w:t>
      </w:r>
    </w:p>
    <w:p>
      <w:pPr>
        <w:pStyle w:val="ListBullet"/>
      </w:pPr>
      <w:r>
        <w:t xml:space="preserve">    Generation II: Patient's Father: Pancreatic cancer</w:t>
      </w:r>
    </w:p>
    <w:p>
      <w:pPr>
        <w:pStyle w:val="ListBullet"/>
      </w:pPr>
      <w:r>
        <w:t xml:space="preserve">    Generation III: Patient: Breast cancer diagnosed at age 60, ER-negative, PR-negative, HER2-negative.</w:t>
      </w:r>
    </w:p>
    <w:p>
      <w:pPr>
        <w:pStyle w:val="ListBullet"/>
      </w:pPr>
      <w:r>
        <w:t xml:space="preserve">    Generation IV: Children, no noted diagnoses.</w:t>
      </w:r>
    </w:p>
    <w:p>
      <w:pPr>
        <w:pStyle w:val="Heading1"/>
      </w:pPr>
      <w:r>
        <w:t>NCCN Testing Criteria Assessment</w:t>
      </w:r>
    </w:p>
    <w:p>
      <w:r>
        <w:t>Criteria: Age at diagnosis not ≤50 years: The patient was diagnosed at 60., Triple-negative breast cancer: The patient is ER-negative, PR-negative, and HER2-negative, fulfilling the criteria., Family history of pancreatic cancer: The patient has multiple close relatives (father and grandfather) with pancreatic cancer.</w:t>
      </w:r>
    </w:p>
    <w:p>
      <w:pPr>
        <w:pStyle w:val="Heading1"/>
      </w:pPr>
      <w:r>
        <w:t>Conclusion</w:t>
      </w:r>
    </w:p>
    <w:p>
      <w:r>
        <w:t>The patient is eligible for NCCN genetic testing due to having triple-negative breast cancer and a family history of pancreatic cancer in close relatives. Testing may include BRCA1, BRCA2, among other genes based on the patient's clinical and family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