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Case Number: 49</w:t>
      </w:r>
    </w:p>
    <w:p>
      <w:r>
        <w:t>Age of diagnosis: 75</w:t>
      </w:r>
    </w:p>
    <w:p>
      <w:r>
        <w:t>Diagnosis: Invasive ductal carcinoma, grade 3 with ductal carcinoma in situ (DCIS), high grade with comedo necrosis.</w:t>
      </w:r>
    </w:p>
    <w:p>
      <w:r>
        <w:t>Receptor Status:</w:t>
      </w:r>
    </w:p>
    <w:p>
      <w:pPr>
        <w:pStyle w:val="ListBullet"/>
      </w:pPr>
      <w:r>
        <w:t xml:space="preserve">    Estrogen Receptors: Positive</w:t>
      </w:r>
    </w:p>
    <w:p>
      <w:pPr>
        <w:pStyle w:val="ListBullet"/>
      </w:pPr>
      <w:r>
        <w:t xml:space="preserve">    Progesterone Receptors: Positive</w:t>
      </w:r>
    </w:p>
    <w:p>
      <w:pPr>
        <w:pStyle w:val="ListBullet"/>
      </w:pPr>
      <w:r>
        <w:t xml:space="preserve">    HER2: Positive</w:t>
      </w:r>
    </w:p>
    <w:p>
      <w:pPr>
        <w:pStyle w:val="Heading1"/>
      </w:pPr>
      <w:r>
        <w:t>Pedigree Analysis</w:t>
      </w:r>
    </w:p>
    <w:p>
      <w:r>
        <w:t>Generations:</w:t>
      </w:r>
    </w:p>
    <w:p>
      <w:pPr>
        <w:pStyle w:val="ListBullet"/>
      </w:pPr>
      <w:r>
        <w:t xml:space="preserve">    Generation I: </w:t>
      </w:r>
    </w:p>
    <w:p>
      <w:pPr>
        <w:pStyle w:val="ListBullet"/>
      </w:pPr>
      <w:r>
        <w:t xml:space="preserve">    Generation II: Aunt with ovarian cancer</w:t>
      </w:r>
    </w:p>
    <w:p>
      <w:pPr>
        <w:pStyle w:val="ListBullet"/>
      </w:pPr>
      <w:r>
        <w:t xml:space="preserve">    Generation III: The patient, diagnosed with high-grade invasive ductal carcinoma at age 75, ER-positive, PR-positive, HER2-positive.</w:t>
      </w:r>
    </w:p>
    <w:p>
      <w:pPr>
        <w:pStyle w:val="ListBullet"/>
      </w:pPr>
      <w:r>
        <w:t xml:space="preserve">    Generation IV: </w:t>
      </w:r>
    </w:p>
    <w:p>
      <w:pPr>
        <w:pStyle w:val="Heading1"/>
      </w:pPr>
      <w:r>
        <w:t>NCCN Testing Criteria Assessment</w:t>
      </w:r>
    </w:p>
    <w:p>
      <w:r>
        <w:t>Criteria Met: Any age with ≥ 1 close blood relative with ovarian cancer.</w:t>
      </w:r>
    </w:p>
    <w:p>
      <w:r>
        <w:t>Criteria Not Met: Personal history of breast cancer with age ≤50., Any age with Triple-negative breast cancer., Any age with Multiple primary breast cancers (synchronous or metachronous)., Any age with Lobular breast cancer with personal or family history of diffuse gastric cancer., Any age with Male breast cancer., Any age with Ashkenazi Jewish ancestry., Any age with ≥ 1 close blood relative with pancreatic cancer., Any age with ≥ 1 close blood relative with prostate cancer with metastatic, or high- or very-high-risk group., Any age with ≥ 3 diagnoses of breast and/or prostate cancer (any grade) on the same side of the family.</w:t>
      </w:r>
    </w:p>
    <w:p>
      <w:pPr>
        <w:pStyle w:val="Heading1"/>
      </w:pPr>
      <w:r>
        <w:t>Conclusion</w:t>
      </w:r>
    </w:p>
    <w:p>
      <w:r>
        <w:t>The patient meets the NCCN testing criteria due to having a close blood relative (aunt) with ovarian cancer. Therefore, the patient should be considered for testing for high-penetrance breast cancer susceptibility genes, including BRCA1 and BRCA2.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