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diagnosed at age 39.</w:t>
      </w:r>
    </w:p>
    <w:p>
      <w:r>
        <w:t>Specimen: Not specified</w:t>
      </w:r>
    </w:p>
    <w:p>
      <w:r>
        <w:t>Diagnosis: Invasive ductal carcinoma, grade 3 with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HER2/neu: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Father had pancreatic cancer diagnosed at age 60.</w:t>
      </w:r>
    </w:p>
    <w:p>
      <w:pPr>
        <w:pStyle w:val="ListBullet"/>
      </w:pPr>
      <w:r>
        <w:t xml:space="preserve">    Generation III: The patient, diagnosed with high-grade invasive ductal carcinoma at age 39.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 years: Met, diagnosed at age 39., Triple-negative breast cancer: Not met, as HER2 is positive., Close blood relative with pancreatic cancer: Met, father had pancreatic cancer at age 60.</w:t>
      </w:r>
    </w:p>
    <w:p>
      <w:pPr>
        <w:pStyle w:val="Heading1"/>
      </w:pPr>
      <w:r>
        <w:t>Conclusion</w:t>
      </w:r>
    </w:p>
    <w:p>
      <w:r>
        <w:t>The patient is eligible for NCCN genetic testing criteria, with a personal history of breast cancer diagnosed at age 39 and a family history of a close blood relative (father) with pancreatic cancer. The patient's HER2-positive status and hormone receptor-negative status (ER and PR) indicate potential eligibility for broader genetic testing evaluations.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