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39-year-old diagnosed with breast cancer.</w:t>
      </w:r>
    </w:p>
    <w:p>
      <w:r>
        <w:t>Specimen: Breast tissue sample.</w:t>
      </w:r>
    </w:p>
    <w:p>
      <w:r>
        <w:t>Diagnosis: Invasive ductal carcinoma, grade 3, with high-grade ductal carcinoma in situ and comedo necrosis.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Father diagnosed with pancreatic cancer at age 60.</w:t>
      </w:r>
    </w:p>
    <w:p>
      <w:pPr>
        <w:pStyle w:val="ListBullet"/>
      </w:pPr>
      <w:r>
        <w:t xml:space="preserve">    Generation III: The patient diagnosed with high-grade invasive ductal carcinoma at age 39, ER-negative, PR-negative, HER2-positive.</w:t>
      </w:r>
    </w:p>
    <w:p>
      <w:pPr>
        <w:pStyle w:val="ListBullet"/>
      </w:pPr>
      <w:r>
        <w:t xml:space="preserve">    Generation IV: Children, Nieces, Nephews</w:t>
      </w:r>
    </w:p>
    <w:p>
      <w:r>
        <w:t>Visual: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Patient diagnosed at 39., Any age with Triple-negative breast cancer: ER-negative, PR-negative, HER2-positive is considered HER2-positive subtype, not triple-negative., Any age with ≥ 1 close blood relative with pancreatic cancer: Father diagnosed with pancreatic cancer.</w:t>
      </w:r>
    </w:p>
    <w:p>
      <w:pPr>
        <w:pStyle w:val="Heading1"/>
      </w:pPr>
      <w:r>
        <w:t>Conclusion</w:t>
      </w:r>
    </w:p>
    <w:p>
      <w:r>
        <w:t>The patient meets the NCCN testing criteria for BRCA1, BRCA2, and other high-penetrance breast cancer susceptibility genes due to being diagnosed with breast cancer at age 39 and having a close blood relative with pancreatic cancer. Testing is strongly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