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 for review.</w:t>
      </w:r>
    </w:p>
    <w:p>
      <w:r>
        <w:t>Case Number: 50</w:t>
      </w:r>
    </w:p>
    <w:p>
      <w:r>
        <w:t>Diagnosis:</w:t>
      </w:r>
    </w:p>
    <w:p>
      <w:pPr>
        <w:pStyle w:val="ListBullet"/>
      </w:pPr>
      <w:r>
        <w:t xml:space="preserve">    Primary Diagnosis: Invasive breast carcinoma of no special type, grade 2.</w:t>
      </w:r>
    </w:p>
    <w:p>
      <w:pPr>
        <w:pStyle w:val="ListBullet"/>
      </w:pPr>
      <w:r>
        <w:t xml:space="preserve">    Secondary Diagnosis: Intermediate grade ductal carcinoma in situ (DCIS) with a solid pattern.</w:t>
      </w:r>
    </w:p>
    <w:p>
      <w:r>
        <w:t>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</w:t>
      </w:r>
    </w:p>
    <w:p>
      <w:pPr>
        <w:pStyle w:val="ListBullet"/>
      </w:pPr>
      <w:r>
        <w:t xml:space="preserve">    Generation III: The patient, diagnosed with triple-negative invasive breast carcinoma at age 68., A cousin with metastatic prostate cancer.</w:t>
      </w:r>
    </w:p>
    <w:p>
      <w:pPr>
        <w:pStyle w:val="ListBullet"/>
      </w:pPr>
      <w:r>
        <w:t xml:space="preserve">    Generation IV: </w:t>
      </w:r>
    </w:p>
    <w:p>
      <w:pPr>
        <w:pStyle w:val="Heading1"/>
      </w:pPr>
      <w:r>
        <w:t>NCCN Testing Criteria Assessment</w:t>
      </w:r>
    </w:p>
    <w:p>
      <w:r>
        <w:t>Criteria Met: Any age with Triple-negative breast cancer., Any age with ≥ 1 close blood relative with prostate cancer with metastatic status.</w:t>
      </w:r>
    </w:p>
    <w:p>
      <w:pPr>
        <w:pStyle w:val="Heading1"/>
      </w:pPr>
      <w:r>
        <w:t>Conclusion</w:t>
      </w:r>
    </w:p>
    <w:p>
      <w:r>
        <w:t>The patient is eligible for NCCN genetic testing criteria based on having triple-negative breast cancer and a close familial relation with metastatic prostate cancer. Both these factors individually meet the criteria for recommending genetic testing for high-penetrance breast cancer susceptibility genes, including BRCA1, BRCA2, and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