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6</w:t>
      </w:r>
    </w:p>
    <w:p>
      <w:r>
        <w:t>Age of Diagnosis: 53</w:t>
      </w:r>
    </w:p>
    <w:p>
      <w:r>
        <w:t>Family History: No family history</w:t>
      </w:r>
    </w:p>
    <w:p>
      <w:r>
        <w:t>Diagnosis: Invasive breast carcinoma of no special type, grade 2.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Patient diagnosed with breast cancer at age 53, ER-positive, PR-positive, HER2-positive.</w:t>
      </w:r>
    </w:p>
    <w:p>
      <w:pPr>
        <w:pStyle w:val="ListBullet"/>
      </w:pPr>
      <w:r>
        <w:t xml:space="preserve">    Generation IV: Children, no documented cases of cancer.</w:t>
      </w:r>
    </w:p>
    <w:p>
      <w:pPr>
        <w:pStyle w:val="Heading1"/>
      </w:pPr>
      <w:r>
        <w:t>NCCN Testing Criteria Assessment</w:t>
      </w:r>
    </w:p>
    <w:p>
      <w:r>
        <w:t>Criteria: Personal history of breast cancer with age ≤50 y: Not met, since diagnosed at 53., Triple-negative breast cancer: Not applicable, patient is ER, PR, HER2 positive., Multiple primary breast cancers: Not applicable., Lobular breast cancer with personal/family history of diffuse gastric cancer: Not applicable., Male breast cancer: Not applicable., Ashkenazi Jewish ancestry: Not applicable., Close blood relative with breast cancer at age ≤50: Not applicable., Close blood relative with male breast cancer: Not applicable., Close blood relative with ovarian, pancreatic, or prostate cancer: Not applicable.</w:t>
      </w:r>
    </w:p>
    <w:p>
      <w:pPr>
        <w:pStyle w:val="Heading1"/>
      </w:pPr>
      <w:r>
        <w:t>Conclusion</w:t>
      </w:r>
    </w:p>
    <w:p>
      <w:r>
        <w:t>The patient does not meet the NCCN criteria for testing for high-penetrance breast cancer susceptibility genes. There is no reported family history or personal history that aligns with the NCCN testing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