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7</w:t>
      </w:r>
    </w:p>
    <w:p>
      <w:r>
        <w:t>Age of Diagnosis: 62</w:t>
      </w:r>
    </w:p>
    <w:p>
      <w:r>
        <w:t>Family History: No family history</w:t>
      </w:r>
    </w:p>
    <w:p>
      <w:r>
        <w:t>Diagnosis: Invasive breast carcinoma of no special type, grade 3.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</w:t>
      </w:r>
    </w:p>
    <w:p>
      <w:pPr>
        <w:pStyle w:val="ListBullet"/>
      </w:pPr>
      <w:r>
        <w:t xml:space="preserve">    Generation II: Parents</w:t>
      </w:r>
    </w:p>
    <w:p>
      <w:pPr>
        <w:pStyle w:val="ListBullet"/>
      </w:pPr>
      <w:r>
        <w:t xml:space="preserve">    Generation III: Patient (Affected)</w:t>
      </w:r>
    </w:p>
    <w:p>
      <w:r>
        <w:t>Textual Analysis:</w:t>
      </w:r>
    </w:p>
    <w:p>
      <w:pPr>
        <w:pStyle w:val="Heading1"/>
      </w:pPr>
      <w:r>
        <w:t>NCCN Testing Criteria Assessment</w:t>
      </w:r>
    </w:p>
    <w:p>
      <w:r>
        <w:t>Criteria Met: Any age with Triple-negative breast cancer.</w:t>
      </w:r>
    </w:p>
    <w:p>
      <w:pPr>
        <w:pStyle w:val="Heading1"/>
      </w:pPr>
      <w:r>
        <w:t>Conclusion</w:t>
      </w:r>
    </w:p>
    <w:p>
      <w:r>
        <w:t>The patient, diagnosed with triple-negative breast cancer at age 62, does meet the NCCN testing criteria for genetic testing based on having triple-negative breast cancer. Despite the absence of a family history of related cancers, the triple-negative status alone qualifies the patient for further genetic testing under the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