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Case Number: 7</w:t>
      </w:r>
    </w:p>
    <w:p>
      <w:r>
        <w:t>Age of Diagnosis: 62</w:t>
      </w:r>
    </w:p>
    <w:p>
      <w:r>
        <w:t>Diagnosis: Invasive breast carcinoma of no special type, grade 3. Intermediate grade ductal carcinoma in situ (DCIS) with a solid pattern.</w:t>
      </w:r>
    </w:p>
    <w:p>
      <w:r>
        <w:t>Hormone Receptor Status:</w:t>
      </w:r>
    </w:p>
    <w:p>
      <w:pPr>
        <w:pStyle w:val="ListBullet"/>
      </w:pPr>
      <w:r>
        <w:t xml:space="preserve">    ER Status: Negative</w:t>
      </w:r>
    </w:p>
    <w:p>
      <w:pPr>
        <w:pStyle w:val="ListBullet"/>
      </w:pPr>
      <w:r>
        <w:t xml:space="preserve">    PR Status: Negative</w:t>
      </w:r>
    </w:p>
    <w:p>
      <w:pPr>
        <w:pStyle w:val="ListBullet"/>
      </w:pPr>
      <w:r>
        <w:t xml:space="preserve">    HER2 Status: Negative</w:t>
      </w:r>
    </w:p>
    <w:p>
      <w:r>
        <w:t>Family History: No family history</w:t>
      </w:r>
    </w:p>
    <w:p>
      <w:pPr>
        <w:pStyle w:val="Heading1"/>
      </w:pPr>
      <w:r>
        <w:t>Pedigree Analysis</w:t>
      </w:r>
    </w:p>
    <w:p>
      <w:r>
        <w:t>Generations:</w:t>
      </w:r>
    </w:p>
    <w:p>
      <w:pPr>
        <w:pStyle w:val="ListBullet"/>
      </w:pPr>
      <w:r>
        <w:t xml:space="preserve">    Generation I: No relevant medical history noted.</w:t>
      </w:r>
    </w:p>
    <w:p>
      <w:pPr>
        <w:pStyle w:val="ListBullet"/>
      </w:pPr>
      <w:r>
        <w:t xml:space="preserve">    Generation II: Parents</w:t>
      </w:r>
    </w:p>
    <w:p>
      <w:pPr>
        <w:pStyle w:val="ListBullet"/>
      </w:pPr>
      <w:r>
        <w:t xml:space="preserve">    Generation III: The patient, diagnosed at 62 with triple-negative breast cancer.</w:t>
      </w:r>
    </w:p>
    <w:p>
      <w:pPr>
        <w:pStyle w:val="ListBullet"/>
      </w:pPr>
      <w:r>
        <w:t xml:space="preserve">    Generation IV: Children, no noted diagnosis.</w:t>
      </w:r>
    </w:p>
    <w:p>
      <w:r>
        <w:t>Textual Analysis:</w:t>
      </w:r>
    </w:p>
    <w:p>
      <w:pPr>
        <w:pStyle w:val="Heading1"/>
      </w:pPr>
      <w:r>
        <w:t>NCCN Testing Criteria Assessment</w:t>
      </w:r>
    </w:p>
    <w:p>
      <w:r>
        <w:t>Criteria Met: Any age with Triple-negative breast cancer</w:t>
      </w:r>
    </w:p>
    <w:p>
      <w:r>
        <w:t>Criteria Not Met: Personal history of breast cancer with age ≤50 y., Any age with Multiple primary breast cancers., Any age with Lobular breast cancer with personal or family history of diffuse gastric cancer., Any age with Male breast cancer., Any age with Ashkenazi Jewish ancestry., Any age with ≥ 1 close blood relative with breast cancer at age ≤50., Any age with ≥ 1 close blood relative with male breast cancer., Any age with ≥ 1 close blood relative with ovarian cancer., Any age with ≥ 1 close blood relative with pancreatic cancer., Any age with ≥ 1 close blood relative with prostate cancer with metastatic, or high- or very-high-risk group., Any age with ≥ 3 diagnoses of breast and/or prostate cancer on the same side of the family.</w:t>
      </w:r>
    </w:p>
    <w:p>
      <w:pPr>
        <w:pStyle w:val="Heading1"/>
      </w:pPr>
      <w:r>
        <w:t>Conclusion</w:t>
      </w:r>
    </w:p>
    <w:p>
      <w:r>
        <w:t>The patient is eligible for the NCCN testing criteria based on the diagnosis of triple-negative breast cancer. Despite the lack of family history of cancer, the triple-negative status itself qualifies the patient for genetic testing for high-penetrance breast cancer susceptibility genes such as BRCA1, BRCA2, etc.</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