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 in a 35-year-old female.</w:t>
      </w:r>
    </w:p>
    <w:p>
      <w:r>
        <w:t>Specimen: Not specified in the provided document.</w:t>
      </w:r>
    </w:p>
    <w:p>
      <w:r>
        <w:t>Diagnosis: Invasive breast carcinoma of no special type, grade 2, with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The patient's mother had breast cancer, diagnosed at age 45.</w:t>
      </w:r>
    </w:p>
    <w:p>
      <w:pPr>
        <w:pStyle w:val="ListBullet"/>
      </w:pPr>
      <w:r>
        <w:t xml:space="preserve">    Generation III: Case 8, diagnosed with breast cancer at age 35., ER-positive, PR-positive, HER2-negative</w:t>
      </w:r>
    </w:p>
    <w:p>
      <w:pPr>
        <w:pStyle w:val="ListBullet"/>
      </w:pPr>
      <w:r>
        <w:t xml:space="preserve">    Generation IV: Children and other descendants not detailed.</w:t>
      </w:r>
    </w:p>
    <w:p>
      <w:r>
        <w:t>ImageLink: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≤50 years: Met, as the patient was diagnosed at 35., Family history of breast cancer: Met, as the patient's mother had breast cancer at age 45.</w:t>
      </w:r>
    </w:p>
    <w:p>
      <w:pPr>
        <w:pStyle w:val="Heading1"/>
      </w:pPr>
      <w:r>
        <w:t>Conclusion</w:t>
      </w:r>
    </w:p>
    <w:p>
      <w:r>
        <w:t>The patient meets the NCCN criteria for genetic testing based on her early age of breast cancer diagnosis and her family history, specifically her mother's diagnosis at a relatively young age. Testing for high-penetrance breast cancer susceptibility genes is recommended, including BRCA1, BRCA2, and others mentioned in the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