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Medical Report</w:t>
      </w:r>
    </w:p>
    <w:p>
      <w:pPr>
        <w:pStyle w:val="Heading1"/>
      </w:pPr>
      <w:r>
        <w:t>Pathology Report Summary</w:t>
      </w:r>
    </w:p>
    <w:p>
      <w:r>
        <w:t>Clinical History: A case of invasive breast carcinoma for review.</w:t>
      </w:r>
    </w:p>
    <w:p>
      <w:r>
        <w:t>Specimen: Breast tissue biopsy.</w:t>
      </w:r>
    </w:p>
    <w:p>
      <w:r>
        <w:t>Diagnosis: Invasive breast carcinoma of no special type, grade 2. Intermediate grade ductal carcinoma in situ (DCIS) with a solid pattern.</w:t>
      </w:r>
    </w:p>
    <w:p>
      <w:r>
        <w:t>Receptor Status:</w:t>
      </w:r>
    </w:p>
    <w:p>
      <w:pPr>
        <w:pStyle w:val="ListBullet"/>
      </w:pPr>
      <w:r>
        <w:t xml:space="preserve">    Estrogen Receptors: Positive</w:t>
      </w:r>
    </w:p>
    <w:p>
      <w:pPr>
        <w:pStyle w:val="ListBullet"/>
      </w:pPr>
      <w:r>
        <w:t xml:space="preserve">    Progesterone Receptors: Positive</w:t>
      </w:r>
    </w:p>
    <w:p>
      <w:pPr>
        <w:pStyle w:val="ListBullet"/>
      </w:pPr>
      <w:r>
        <w:t xml:space="preserve">    HER2 Status: Negative</w:t>
      </w:r>
    </w:p>
    <w:p>
      <w:pPr>
        <w:pStyle w:val="Heading1"/>
      </w:pPr>
      <w:r>
        <w:t>Pedigree Analysis</w:t>
      </w:r>
    </w:p>
    <w:p>
      <w:r>
        <w:t>Generations:</w:t>
      </w:r>
    </w:p>
    <w:p>
      <w:pPr>
        <w:pStyle w:val="ListBullet"/>
      </w:pPr>
      <w:r>
        <w:t xml:space="preserve">    Generation I: </w:t>
      </w:r>
    </w:p>
    <w:p>
      <w:pPr>
        <w:pStyle w:val="ListBullet"/>
      </w:pPr>
      <w:r>
        <w:t xml:space="preserve">    Generation II: Mother diagnosed with breast cancer at age 45.</w:t>
      </w:r>
    </w:p>
    <w:p>
      <w:pPr>
        <w:pStyle w:val="ListBullet"/>
      </w:pPr>
      <w:r>
        <w:t xml:space="preserve">    Generation III: The patient, diagnosed with breast cancer at age 35, ER-positive, PR-positive, and HER2-negative.</w:t>
      </w:r>
    </w:p>
    <w:p>
      <w:pPr>
        <w:pStyle w:val="ListBullet"/>
      </w:pPr>
      <w:r>
        <w:t xml:space="preserve">    Generation IV: </w:t>
      </w:r>
    </w:p>
    <w:p>
      <w:pPr>
        <w:pStyle w:val="Heading1"/>
      </w:pPr>
      <w:r>
        <w:t>NCCN Testing Criteria Assessment</w:t>
      </w:r>
    </w:p>
    <w:p>
      <w:r>
        <w:t>Criteria: Personal history of breast cancer with age ≤50 years: The patient was diagnosed at 35, meeting this criterion., Family history of breast cancer: The patient's mother was diagnosed at age 45, further supporting the consideration.</w:t>
      </w:r>
    </w:p>
    <w:p>
      <w:pPr>
        <w:pStyle w:val="Heading1"/>
      </w:pPr>
      <w:r>
        <w:t>Conclusion</w:t>
      </w:r>
    </w:p>
    <w:p>
      <w:r>
        <w:t>The patient meets the NCCN criteria for genetic testing based on the diagnosis of breast cancer at age 35 and family history of breast cancer in the mother diagnosed at age 45. Genetic testing for high-penetrance breast cancer susceptibility genes like BRCA1, BRCA2 may be recommended.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