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9</w:t>
      </w:r>
    </w:p>
    <w:p>
      <w:r>
        <w:t>Age of Diagnosis: 54</w:t>
      </w:r>
    </w:p>
    <w:p>
      <w:r>
        <w:t>Diagnosis: Invasive breast carcinoma of no special type, grade 1.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Great Uncle</w:t>
      </w:r>
    </w:p>
    <w:p>
      <w:pPr>
        <w:pStyle w:val="ListBullet"/>
      </w:pPr>
      <w:r>
        <w:t xml:space="preserve">    Generation II: Aunt, Uncle, Paternal Cousin with Male Breast Cancer</w:t>
      </w:r>
    </w:p>
    <w:p>
      <w:pPr>
        <w:pStyle w:val="ListBullet"/>
      </w:pPr>
      <w:r>
        <w:t xml:space="preserve">    Generation III: Patient: Diagnosed with breast cancer at age 54, ER-negative, PR-negative, HER2-positive.</w:t>
      </w:r>
    </w:p>
    <w:p>
      <w:r>
        <w:t>Family History: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is not met as patient was diagnosed at 54., Any age with Triple-negative breast cancer is not met as ER and PR are negative, but HER2 is positive., Any age with Male breast cancer: Met due to the patient's paternal cousin having male breast cancer.</w:t>
      </w:r>
    </w:p>
    <w:p>
      <w:pPr>
        <w:pStyle w:val="Heading1"/>
      </w:pPr>
      <w:r>
        <w:t>Conclusion</w:t>
      </w:r>
    </w:p>
    <w:p>
      <w:r>
        <w:t>The patient is eligible for NCCN testing based on the family history of a paternal cousin with male breast cancer.</w:t>
      </w:r>
    </w:p>
    <w:p>
      <w:r>
        <w:t>Although the patient does not meet the criteria for young age at diagnosis or triple-negative breast cancer, the presence of male breast cancer in a close relative (paternal cousin) justifies genetic testing for high-penetrance breast cancer susceptibility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