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9</w:t>
      </w:r>
    </w:p>
    <w:p>
      <w:r>
        <w:t>Age of Diagnosis: 54</w:t>
      </w:r>
    </w:p>
    <w:p>
      <w:r>
        <w:t>Diagnosis: Invasive breast carcinoma of no special type, grade 1.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Grandparents, Great Aunts/Uncles</w:t>
      </w:r>
    </w:p>
    <w:p>
      <w:pPr>
        <w:pStyle w:val="ListBullet"/>
      </w:pPr>
      <w:r>
        <w:t xml:space="preserve">    Generation II: Aunts, Uncles</w:t>
      </w:r>
    </w:p>
    <w:p>
      <w:pPr>
        <w:pStyle w:val="ListBullet"/>
      </w:pPr>
      <w:r>
        <w:t xml:space="preserve">    Generation III: Patient diagnosed with breast cancer at age 54. Paternal cousin male diagnosed with breast cancer at age 50.</w:t>
      </w:r>
    </w:p>
    <w:p>
      <w:pPr>
        <w:pStyle w:val="Heading1"/>
      </w:pPr>
      <w:r>
        <w:t>NCCN Testing Criteria Assessment</w:t>
      </w:r>
    </w:p>
    <w:p>
      <w:r>
        <w:t>Criteria Met: Any age with ≥ 1 close blood relative with male breast cancer.</w:t>
      </w:r>
    </w:p>
    <w:p>
      <w:pPr>
        <w:pStyle w:val="Heading1"/>
      </w:pPr>
      <w:r>
        <w:t>Conclusion</w:t>
      </w:r>
    </w:p>
    <w:p>
      <w:r>
        <w:t>The patient meets the NCCN testing criteria due to a close blood relative (paternal cousin) with male breast cancer. Therefore, the patient is eligible for testing for high-penetrance breast cancer susceptibility genes, particularly BRCA1 and BRCA2.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