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features, grade 1.</w:t>
      </w:r>
    </w:p>
    <w:p>
      <w:r>
        <w:t>Nottingham Histologic Score: 5/9 (Tubular differentiation: 3/3, Nuclear pleomorphism: 1/3, Mitotic activity: 1/3).</w:t>
      </w:r>
    </w:p>
    <w:p>
      <w:r>
        <w:t>Receptors:</w:t>
      </w:r>
    </w:p>
    <w:p>
      <w:pPr>
        <w:pStyle w:val="ListBullet"/>
      </w:pPr>
      <w:r>
        <w:t xml:space="preserve">    Estrogen Receptors: Positive, Moderate, in 90% of tumor cell nuclei.</w:t>
      </w:r>
    </w:p>
    <w:p>
      <w:pPr>
        <w:pStyle w:val="ListBullet"/>
      </w:pPr>
      <w:r>
        <w:t xml:space="preserve">    Progesterone Receptors: Positive, Moderate, in 50% of tumor cell nuclei.</w:t>
      </w:r>
    </w:p>
    <w:p>
      <w:pPr>
        <w:pStyle w:val="ListBullet"/>
      </w:pPr>
      <w:r>
        <w:t xml:space="preserve">    HER-2/neu Overexpression: Positive, score(3+).</w:t>
      </w:r>
    </w:p>
    <w:p>
      <w:r>
        <w:t>Note: The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Family History:</w:t>
      </w:r>
    </w:p>
    <w:p>
      <w:r>
        <w:t>Generational Analysis:</w:t>
      </w:r>
    </w:p>
    <w:p>
      <w:pPr>
        <w:pStyle w:val="ListBullet"/>
      </w:pPr>
      <w:r>
        <w:t xml:space="preserve">    Generation I: Information not detailed.</w:t>
      </w:r>
    </w:p>
    <w:p>
      <w:r>
        <w:t xml:space="preserve">    Generation II:</w:t>
      </w:r>
    </w:p>
    <w:p>
      <w:pPr>
        <w:pStyle w:val="ListBullet"/>
      </w:pPr>
      <w:r>
        <w:t xml:space="preserve">        Cancer History: [{'Type': 'Prostate Cancer', 'Age': 60}]</w:t>
      </w:r>
    </w:p>
    <w:p>
      <w:r>
        <w:t xml:space="preserve">    Generation III:</w:t>
      </w:r>
    </w:p>
    <w:p>
      <w:pPr>
        <w:pStyle w:val="ListBullet"/>
      </w:pPr>
      <w:r>
        <w:t xml:space="preserve">        Patient: Breast cancer diagnosed at 35 years old.</w:t>
      </w:r>
    </w:p>
    <w:p>
      <w:pPr>
        <w:pStyle w:val="ListBullet"/>
      </w:pPr>
      <w:r>
        <w:t xml:space="preserve">        Other Family Members: [{'Gender': 'Female', 'Age': 59, 'Cancer History': 'Breast Cancer'}]</w:t>
      </w:r>
    </w:p>
    <w:p>
      <w:pPr>
        <w:pStyle w:val="ListBullet"/>
      </w:pPr>
      <w:r>
        <w:t xml:space="preserve">    Generation IV: Information not detailed.</w:t>
      </w:r>
    </w:p>
    <w:p>
      <w:pPr>
        <w:pStyle w:val="Heading1"/>
      </w:pPr>
      <w:r>
        <w:t>NCCN Testing Criteria Assessment</w:t>
      </w:r>
    </w:p>
    <w:p>
      <w:r>
        <w:t>Fulfilling NCCN Criteria: The patient and family history may fulfill NCCN criteria for genetic testing due to early onset breast cancer and familial cancer history.</w:t>
      </w:r>
    </w:p>
    <w:p>
      <w:r>
        <w:t>Mutational Risk: Assessment for BRCA1 and BRCA2 mutations could be considered based on family history and tumor profile.</w:t>
      </w:r>
    </w:p>
    <w:p>
      <w:pPr>
        <w:pStyle w:val="Heading1"/>
      </w:pPr>
      <w:r>
        <w:t>Conclusion</w:t>
      </w:r>
    </w:p>
    <w:p>
      <w:r>
        <w:t>Summary: The pathology report confirms invasive carcinoma with lobular features and unusual HER-2/neu positivity. Pedigree suggests significant family history of cancer.</w:t>
      </w:r>
    </w:p>
    <w:p>
      <w:r>
        <w:t>Recommendations: Consider further genetic testing for BRCA mutations, given family history and tumor characteristics. Continued surveillance and possible treatment adjustments based on HER-2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