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 for review.</w:t>
      </w:r>
    </w:p>
    <w:p>
      <w:r>
        <w:t>Tissue Origin: Right breast, tru cut biopsy.</w:t>
      </w:r>
    </w:p>
    <w:p>
      <w:r>
        <w:t>Diagnosis: Tiny fragments of invasive carcinoma with lobular features grade 1.</w:t>
      </w:r>
    </w:p>
    <w:p>
      <w:r>
        <w:t>Nottingham Score: 5/9 (Tubular differentiation: 3/3, Nuclear pleomorphism: 1/3, Mitotic activity: 1/3)</w:t>
      </w:r>
    </w:p>
    <w:p>
      <w:r>
        <w:t>Receptor Status:</w:t>
      </w:r>
    </w:p>
    <w:p>
      <w:pPr>
        <w:pStyle w:val="ListBullet"/>
      </w:pPr>
      <w:r>
        <w:t xml:space="preserve">    Estrogen Receptors: Positive, Moderate, in 90% of tumor cell nuclei.</w:t>
      </w:r>
    </w:p>
    <w:p>
      <w:pPr>
        <w:pStyle w:val="ListBullet"/>
      </w:pPr>
      <w:r>
        <w:t xml:space="preserve">    Progesterone Receptors: Positive, Moderate, in 50% of tumor cell nuclei.</w:t>
      </w:r>
    </w:p>
    <w:p>
      <w:pPr>
        <w:pStyle w:val="ListBullet"/>
      </w:pPr>
      <w:r>
        <w:t xml:space="preserve">    HER-2/neu Overexpression: Positive, score (3+).</w:t>
      </w:r>
    </w:p>
    <w:p>
      <w:r>
        <w:t>Notes: HER-2/neu positivity is unusual for classic lobular carcinoma; repeat immunostains may be indicated for larger biopsies.</w:t>
      </w:r>
    </w:p>
    <w:p>
      <w:pPr>
        <w:pStyle w:val="Heading1"/>
      </w:pPr>
      <w:r>
        <w:t>Pedigree Analysis</w:t>
      </w:r>
    </w:p>
    <w:p>
      <w:r>
        <w:t>Generation I:</w:t>
      </w:r>
    </w:p>
    <w:p>
      <w:r>
        <w:t>Generation II:</w:t>
      </w:r>
    </w:p>
    <w:p>
      <w:pPr>
        <w:pStyle w:val="ListBullet"/>
      </w:pPr>
      <w:r>
        <w:t xml:space="preserve">    Notable Members: ['Individual with prostate cancer at age 60.', 'Individual with pancreatic cancer at age 50.']</w:t>
      </w:r>
    </w:p>
    <w:p>
      <w:r>
        <w:t>Generation III:</w:t>
      </w:r>
    </w:p>
    <w:p>
      <w:r>
        <w:t xml:space="preserve">    Patient:</w:t>
      </w:r>
    </w:p>
    <w:p>
      <w:pPr>
        <w:pStyle w:val="ListBullet"/>
      </w:pPr>
      <w:r>
        <w:t xml:space="preserve">        Gender: Female</w:t>
      </w:r>
    </w:p>
    <w:p>
      <w:pPr>
        <w:pStyle w:val="ListBullet"/>
      </w:pPr>
      <w:r>
        <w:t xml:space="preserve">        Age: 39</w:t>
      </w:r>
    </w:p>
    <w:p>
      <w:pPr>
        <w:pStyle w:val="ListBullet"/>
      </w:pPr>
      <w:r>
        <w:t xml:space="preserve">        Diagnosis: Breast cancer at age 35</w:t>
      </w:r>
    </w:p>
    <w:p>
      <w:pPr>
        <w:pStyle w:val="ListBullet"/>
      </w:pPr>
      <w:r>
        <w:t xml:space="preserve">        Receptor Status: ER+, PR+, HER2-</w:t>
      </w:r>
    </w:p>
    <w:p>
      <w:r>
        <w:t>Generation IV:</w:t>
      </w:r>
    </w:p>
    <w:p>
      <w:pPr>
        <w:pStyle w:val="Heading1"/>
      </w:pPr>
      <w:r>
        <w:t>NCCN Testing Criteria Assessment</w:t>
      </w:r>
    </w:p>
    <w:p>
      <w:r>
        <w:t>Manchester Score: Not provided</w:t>
      </w:r>
    </w:p>
    <w:p>
      <w:r>
        <w:t>BOADICEA BC Risk: Not provided</w:t>
      </w:r>
    </w:p>
    <w:p>
      <w:r>
        <w:t>Mutation Carrier Status: {'BRCA1': 'Not provided', 'BRCA2': 'Not provided'}</w:t>
      </w:r>
    </w:p>
    <w:p>
      <w:pPr>
        <w:pStyle w:val="Heading1"/>
      </w:pPr>
      <w:r>
        <w:t>Conclusion</w:t>
      </w:r>
    </w:p>
    <w:p>
      <w:r>
        <w:t>Summary: The patient is a 39-year-old female diagnosed with breast cancer at age 35 with ER+, PR+, HER2- status. Family history includes occurrences of prostate and pancreatic cancer, which may suggest a hereditary cancer syndrome. Genetic testing for BRCA mutations and further familial risk assessment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